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center"/>
        <w:rPr>
          <w:rFonts w:ascii="黑体" w:hAnsi="黑体" w:eastAsia="黑体" w:cs="黑体"/>
          <w:spacing w:val="9"/>
          <w:sz w:val="32"/>
          <w:szCs w:val="32"/>
        </w:rPr>
      </w:pPr>
      <w:r>
        <w:rPr>
          <w:rFonts w:hint="eastAsia" w:ascii="黑体" w:hAnsi="黑体" w:eastAsia="黑体" w:cs="黑体"/>
          <w:spacing w:val="9"/>
          <w:sz w:val="32"/>
          <w:szCs w:val="32"/>
        </w:rPr>
        <w:t>第二十七届湖南省</w:t>
      </w:r>
      <w:r>
        <w:rPr>
          <w:rFonts w:hint="eastAsia" w:ascii="黑体" w:hAnsi="黑体" w:eastAsia="黑体" w:cs="黑体"/>
          <w:spacing w:val="9"/>
          <w:sz w:val="32"/>
          <w:szCs w:val="32"/>
          <w:lang w:val="en-US" w:eastAsia="zh-CN"/>
        </w:rPr>
        <w:t>中小学</w:t>
      </w:r>
      <w:r>
        <w:rPr>
          <w:rFonts w:hint="eastAsia" w:ascii="黑体" w:hAnsi="黑体" w:eastAsia="黑体" w:cs="黑体"/>
          <w:spacing w:val="9"/>
          <w:sz w:val="32"/>
          <w:szCs w:val="32"/>
        </w:rPr>
        <w:t>生数字素养提升实践活动</w:t>
      </w:r>
    </w:p>
    <w:p>
      <w:pPr>
        <w:spacing w:line="276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黑体"/>
          <w:spacing w:val="9"/>
          <w:sz w:val="32"/>
          <w:szCs w:val="32"/>
        </w:rPr>
        <w:t>智能机器人项目任务书（A类高中组）</w:t>
      </w:r>
    </w:p>
    <w:p>
      <w:pPr>
        <w:autoSpaceDE/>
        <w:autoSpaceDN/>
        <w:spacing w:line="276" w:lineRule="auto"/>
        <w:ind w:firstLine="440" w:firstLineChars="200"/>
        <w:jc w:val="both"/>
        <w:rPr>
          <w:rFonts w:asciiTheme="minorEastAsia" w:hAnsiTheme="minorEastAsia" w:eastAsiaTheme="minorEastAsia"/>
          <w:lang w:eastAsia="zh-CN"/>
        </w:rPr>
      </w:pPr>
    </w:p>
    <w:p>
      <w:pPr>
        <w:numPr>
          <w:ilvl w:val="0"/>
          <w:numId w:val="1"/>
        </w:numPr>
        <w:autoSpaceDE/>
        <w:autoSpaceDN/>
        <w:spacing w:before="91" w:line="276" w:lineRule="auto"/>
        <w:ind w:firstLine="542" w:firstLineChars="200"/>
        <w:jc w:val="both"/>
        <w:rPr>
          <w:rFonts w:cs="黑体" w:asciiTheme="minorEastAsia" w:hAnsiTheme="minorEastAsia" w:eastAsiaTheme="minorEastAsia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/>
          <w:b/>
          <w:bCs/>
          <w:spacing w:val="-5"/>
          <w:kern w:val="2"/>
          <w:sz w:val="28"/>
          <w:szCs w:val="28"/>
          <w:lang w:val="en-US" w:eastAsia="zh-CN" w:bidi="ar-SA"/>
        </w:rPr>
        <w:t>项目概述</w:t>
      </w:r>
      <w:bookmarkStart w:id="0" w:name="_GoBack"/>
      <w:bookmarkEnd w:id="0"/>
    </w:p>
    <w:p>
      <w:pPr>
        <w:autoSpaceDE/>
        <w:autoSpaceDN/>
        <w:spacing w:line="276" w:lineRule="auto"/>
        <w:ind w:firstLine="552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本项目中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A类机器人是指可编程控制的双足人形、多足（ 如四足、六足）、连杆等仿生类行走机器人，根据机器人控制难易程度，从难到易分别为双足、多足（如四足难度高于六足）、连杆机器人。根据任务要求，参与学生能够运用各种传感器包括但不限于视觉识别（大小、形状、颜色）、位置定位（坐标、方向），</w:t>
      </w:r>
      <w:r>
        <w:rPr>
          <w:rFonts w:hint="eastAsia" w:cs="仿宋_GB2312" w:asciiTheme="minorEastAsia" w:hAnsiTheme="minorEastAsia" w:eastAsiaTheme="minorEastAsia"/>
          <w:sz w:val="28"/>
          <w:szCs w:val="28"/>
          <w:lang w:val="en-US" w:eastAsia="zh-CN" w:bidi="ar"/>
        </w:rPr>
        <w:t>设计制作一款机器人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，并具备越障及对指定物品进行识别、抓取、分拣与搬运的能力。</w:t>
      </w:r>
    </w:p>
    <w:p>
      <w:pPr>
        <w:autoSpaceDE/>
        <w:autoSpaceDN/>
        <w:spacing w:line="276" w:lineRule="auto"/>
        <w:ind w:firstLine="562" w:firstLineChars="200"/>
        <w:rPr>
          <w:rFonts w:cs="黑体" w:asciiTheme="minorEastAsia" w:hAnsiTheme="minorEastAsia" w:eastAsiaTheme="minorEastAsia"/>
          <w:b/>
          <w:kern w:val="2"/>
          <w:sz w:val="28"/>
          <w:szCs w:val="28"/>
          <w:lang w:val="en-US" w:eastAsia="zh-CN" w:bidi="ar-SA"/>
        </w:rPr>
      </w:pPr>
      <w:r>
        <w:rPr>
          <w:rFonts w:hint="eastAsia" w:cs="黑体" w:asciiTheme="minorEastAsia" w:hAnsiTheme="minorEastAsia" w:eastAsiaTheme="minorEastAsia"/>
          <w:b/>
          <w:kern w:val="2"/>
          <w:sz w:val="28"/>
          <w:szCs w:val="28"/>
          <w:lang w:val="en-US" w:eastAsia="zh-CN" w:bidi="ar-SA"/>
        </w:rPr>
        <w:t>二、场地及物品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（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一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）场地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1.场地为大小约3200mm×2000mm的喷绘地图（以现场提供为准）, 圆与线段均为宽度约为15-20mm的黑色实线，如图1所示。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2.场地被布置在一个高约500mm的操作台上，挑战任务区围栏的高度约为200mm，如图2所示。亦可将地图直接置于平整的地面作为场地，以现场情况为准。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3.出发区为边长约300mm的正方形。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4.基本任务区里的待分拣物品放置在出发区前方。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5.基本任务区至挑战任务区之间有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2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个高度约20mm的台阶</w:t>
      </w:r>
      <w:r>
        <w:rPr>
          <w:rFonts w:hint="eastAsia" w:cs="仿宋_GB2312" w:asciiTheme="minorEastAsia" w:hAnsiTheme="minorEastAsia" w:eastAsiaTheme="minorEastAsia"/>
          <w:sz w:val="28"/>
          <w:szCs w:val="28"/>
        </w:rPr>
        <w:t>和</w:t>
      </w:r>
      <w:r>
        <w:rPr>
          <w:rFonts w:cs="仿宋_GB2312" w:asciiTheme="minorEastAsia" w:hAnsiTheme="minorEastAsia" w:eastAsiaTheme="minorEastAsia"/>
          <w:sz w:val="28"/>
          <w:szCs w:val="28"/>
        </w:rPr>
        <w:t>一根高度为20cm，宽度为2cm的横梁。如图2所示</w:t>
      </w:r>
      <w:r>
        <w:rPr>
          <w:rFonts w:hint="eastAsia" w:cs="仿宋_GB2312" w:asciiTheme="minorEastAsia" w:hAnsiTheme="minorEastAsia" w:eastAsiaTheme="minorEastAsia"/>
          <w:sz w:val="28"/>
          <w:szCs w:val="28"/>
          <w:lang w:eastAsia="zh-CN"/>
        </w:rPr>
        <w:t>。</w:t>
      </w:r>
    </w:p>
    <w:p>
      <w:pPr>
        <w:pStyle w:val="2"/>
        <w:spacing w:line="276" w:lineRule="auto"/>
        <w:ind w:left="440"/>
        <w:jc w:val="center"/>
      </w:pPr>
      <w:r>
        <w:drawing>
          <wp:inline distT="0" distB="0" distL="0" distR="0">
            <wp:extent cx="2175510" cy="2978785"/>
            <wp:effectExtent l="0" t="0" r="0" b="5715"/>
            <wp:docPr id="378396897" name="图片 1" descr="图示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396897" name="图片 1" descr="图示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40201" cy="3066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line="276" w:lineRule="auto"/>
        <w:ind w:left="440"/>
        <w:jc w:val="center"/>
        <w:rPr>
          <w:rFonts w:hint="eastAsia"/>
        </w:rPr>
      </w:pPr>
      <w:r>
        <w:rPr>
          <w:rFonts w:hint="eastAsia"/>
        </w:rPr>
        <w:t>图 1</w:t>
      </w:r>
    </w:p>
    <w:p>
      <w:pPr>
        <w:autoSpaceDE/>
        <w:autoSpaceDN/>
        <w:spacing w:line="276" w:lineRule="auto"/>
        <w:ind w:left="-2" w:leftChars="-1"/>
        <w:jc w:val="center"/>
        <w:rPr>
          <w:rFonts w:cs="仿宋_GB2312" w:asciiTheme="minorEastAsia" w:hAnsiTheme="minorEastAsia" w:eastAsiaTheme="minorEastAsia"/>
          <w:color w:val="FF0000"/>
          <w:kern w:val="2"/>
          <w:sz w:val="28"/>
          <w:szCs w:val="28"/>
          <w:lang w:val="en-US" w:eastAsia="zh-CN" w:bidi="ar-SA"/>
        </w:rPr>
      </w:pPr>
      <w:r>
        <w:rPr>
          <w:rFonts w:cs="仿宋_GB2312" w:asciiTheme="minorEastAsia" w:hAnsiTheme="minorEastAsia" w:eastAsiaTheme="minorEastAsia"/>
          <w:color w:val="FF0000"/>
          <w:kern w:val="2"/>
          <w:sz w:val="28"/>
          <w:szCs w:val="28"/>
          <w:lang w:val="en-US" w:eastAsia="zh-CN" w:bidi="ar-SA"/>
        </w:rPr>
        <w:drawing>
          <wp:inline distT="0" distB="0" distL="0" distR="0">
            <wp:extent cx="5607050" cy="4928235"/>
            <wp:effectExtent l="0" t="0" r="6350" b="0"/>
            <wp:docPr id="1446608943" name="图片 1" descr="图示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6608943" name="图片 1" descr="图示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928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utoSpaceDE/>
        <w:autoSpaceDN/>
        <w:spacing w:line="276" w:lineRule="auto"/>
        <w:ind w:firstLine="560" w:firstLineChars="200"/>
        <w:jc w:val="center"/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图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2</w:t>
      </w:r>
    </w:p>
    <w:p>
      <w:pPr>
        <w:autoSpaceDE/>
        <w:autoSpaceDN/>
        <w:spacing w:line="276" w:lineRule="auto"/>
        <w:ind w:left="660"/>
        <w:jc w:val="both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（二）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待分拣物品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待分拣物品为若干个三棱锥，棱长约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30mm，颜色为红色（参考色值C0 M100 Y100 K0）和绿色（参考色值C100 M0 Y100 K0），材质为EVA。待分拣物品被摆放在任务区（如图2所示），具体位置以现场公布为准。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（三）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物品收纳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区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物品收纳区为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3个边长分别约为100mm、150mm、200mm同心正方形组成，正方形边线为黑色线宽约5mm，边长100mm的正方形用蓝色填充（参考色值C100 M60 Y0 K0）。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（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四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）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物品收纳台</w:t>
      </w:r>
    </w:p>
    <w:p>
      <w:pPr>
        <w:autoSpaceDE/>
        <w:autoSpaceDN/>
        <w:spacing w:line="276" w:lineRule="auto"/>
        <w:ind w:firstLine="700" w:firstLineChars="250"/>
        <w:jc w:val="both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物品收纳台为蓝色立方体，长宽统一为8cm，高度分别为4cm和8cm两种。共有4个位于挑战任务区。</w:t>
      </w:r>
    </w:p>
    <w:p>
      <w:pPr>
        <w:autoSpaceDE/>
        <w:autoSpaceDN/>
        <w:spacing w:line="276" w:lineRule="auto"/>
        <w:ind w:firstLine="562" w:firstLineChars="200"/>
        <w:rPr>
          <w:rFonts w:cs="黑体" w:asciiTheme="minorEastAsia" w:hAnsiTheme="minorEastAsia" w:eastAsiaTheme="minorEastAsia"/>
          <w:b/>
          <w:kern w:val="2"/>
          <w:sz w:val="28"/>
          <w:szCs w:val="28"/>
          <w:lang w:val="en-US" w:eastAsia="zh-CN" w:bidi="ar-SA"/>
        </w:rPr>
      </w:pPr>
      <w:r>
        <w:rPr>
          <w:rFonts w:hint="eastAsia" w:cs="黑体" w:asciiTheme="minorEastAsia" w:hAnsiTheme="minorEastAsia" w:eastAsiaTheme="minorEastAsia"/>
          <w:b/>
          <w:kern w:val="2"/>
          <w:sz w:val="28"/>
          <w:szCs w:val="28"/>
          <w:lang w:val="en-US" w:eastAsia="zh-CN" w:bidi="ar-SA"/>
        </w:rPr>
        <w:t>三、技术要求</w:t>
      </w:r>
    </w:p>
    <w:p>
      <w:pPr>
        <w:autoSpaceDE/>
        <w:autoSpaceDN/>
        <w:spacing w:line="276" w:lineRule="auto"/>
        <w:ind w:firstLine="560" w:firstLineChars="200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 xml:space="preserve">1.每支队伍限使用1台机器人，自带备用的零部件数量不限。 </w:t>
      </w:r>
    </w:p>
    <w:p>
      <w:pPr>
        <w:autoSpaceDE/>
        <w:autoSpaceDN/>
        <w:spacing w:line="276" w:lineRule="auto"/>
        <w:ind w:firstLine="560" w:firstLineChars="200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 xml:space="preserve">2.利用成品机器人加以改造或自行设计并制作的机器人均可参与，提倡使用开源硬件和软件自行设计制作机器人，鼓励学生用较高难度类型的机器人完成任务。 </w:t>
      </w:r>
    </w:p>
    <w:p>
      <w:pPr>
        <w:autoSpaceDE/>
        <w:autoSpaceDN/>
        <w:spacing w:line="276" w:lineRule="auto"/>
        <w:ind w:firstLine="560" w:firstLineChars="200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 xml:space="preserve">3.在设计、制作和调试机器人时，应结合任务特点并充分考虑光线、电磁场、地面平整度等环境因素对机器人运行产生的干扰和影响，使其充分适应现场环境自主完成任务。 </w:t>
      </w:r>
    </w:p>
    <w:p>
      <w:pPr>
        <w:autoSpaceDE/>
        <w:autoSpaceDN/>
        <w:spacing w:line="276" w:lineRule="auto"/>
        <w:ind w:firstLine="560" w:firstLineChars="200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 xml:space="preserve">4. 机器人在出发区域内的长、宽和高上限分别不超过 300mm×300mm×500mm，重量不限。完全离开出发区域（即机器人的垂直投影完全离开出发区）后其尺寸不再受限。 </w:t>
      </w:r>
    </w:p>
    <w:p>
      <w:pPr>
        <w:autoSpaceDE/>
        <w:autoSpaceDN/>
        <w:spacing w:line="276" w:lineRule="auto"/>
        <w:ind w:firstLine="560" w:firstLineChars="200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 xml:space="preserve">5.允许使用遥控器启动机器人，但不允许使用遥控器控制和引导机器人的运行，机器人必须通过程序实现完全自主运行。 </w:t>
      </w:r>
    </w:p>
    <w:p>
      <w:pPr>
        <w:autoSpaceDE/>
        <w:autoSpaceDN/>
        <w:spacing w:line="276" w:lineRule="auto"/>
        <w:ind w:firstLine="560" w:firstLineChars="200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 xml:space="preserve">6.机器人在出发区内的初始摆放朝向由参与学生自行决定。 </w:t>
      </w:r>
    </w:p>
    <w:p>
      <w:pPr>
        <w:autoSpaceDE/>
        <w:autoSpaceDN/>
        <w:spacing w:line="276" w:lineRule="auto"/>
        <w:ind w:firstLine="560" w:firstLineChars="200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 xml:space="preserve">7.机器人完成基本任务和挑战任务的总时长为5分钟。机器人在出发区内启动后即开始计时，完成全部任务或任务失败后计时停止。 </w:t>
      </w:r>
    </w:p>
    <w:p>
      <w:pPr>
        <w:autoSpaceDE/>
        <w:autoSpaceDN/>
        <w:spacing w:line="276" w:lineRule="auto"/>
        <w:ind w:firstLine="560" w:firstLineChars="200"/>
        <w:rPr>
          <w:rFonts w:cs="黑体" w:asciiTheme="minorEastAsia" w:hAnsiTheme="minorEastAsia" w:eastAsiaTheme="minorEastAsia"/>
          <w:bCs/>
          <w:kern w:val="2"/>
          <w:sz w:val="28"/>
          <w:szCs w:val="28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8.计算机设备及机器人不得连接网络，也不得使用U盘等移动存储设备。</w:t>
      </w:r>
    </w:p>
    <w:p>
      <w:pPr>
        <w:autoSpaceDE/>
        <w:autoSpaceDN/>
        <w:spacing w:line="276" w:lineRule="auto"/>
        <w:ind w:firstLine="562" w:firstLineChars="200"/>
        <w:rPr>
          <w:rFonts w:cs="黑体" w:asciiTheme="minorEastAsia" w:hAnsiTheme="minorEastAsia" w:eastAsiaTheme="minorEastAsia"/>
          <w:b/>
          <w:kern w:val="2"/>
          <w:sz w:val="28"/>
          <w:szCs w:val="28"/>
          <w:lang w:val="en-US" w:eastAsia="zh-CN" w:bidi="ar-SA"/>
        </w:rPr>
      </w:pPr>
      <w:r>
        <w:rPr>
          <w:rFonts w:hint="eastAsia" w:cs="黑体" w:asciiTheme="minorEastAsia" w:hAnsiTheme="minorEastAsia" w:eastAsiaTheme="minorEastAsia"/>
          <w:b/>
          <w:kern w:val="2"/>
          <w:sz w:val="28"/>
          <w:szCs w:val="28"/>
          <w:lang w:val="en-US" w:eastAsia="zh-CN" w:bidi="ar-SA"/>
        </w:rPr>
        <w:t>四、任务描述</w:t>
      </w:r>
    </w:p>
    <w:p>
      <w:pPr>
        <w:autoSpaceDE/>
        <w:autoSpaceDN/>
        <w:spacing w:line="276" w:lineRule="auto"/>
        <w:ind w:firstLine="560" w:firstLineChars="200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1.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项目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所需机器人、笔记本电脑、各种零配件、调试工具等由学生自行准备并一次性带至展示交流现场，在展示交流结束之前不得带出场馆。场地内的道具（如待分拣物品、物品收纳桶等）以现场提供为准，不能对场地及道具做其他任何标记或改动，如添加二维码等。</w:t>
      </w:r>
    </w:p>
    <w:p>
      <w:pPr>
        <w:autoSpaceDE/>
        <w:autoSpaceDN/>
        <w:spacing w:line="276" w:lineRule="auto"/>
        <w:ind w:firstLine="560" w:firstLineChars="200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2.按抽签号入座，并依此顺序进行展示和交流。</w:t>
      </w:r>
    </w:p>
    <w:p>
      <w:pPr>
        <w:autoSpaceDE/>
        <w:autoSpaceDN/>
        <w:spacing w:line="276" w:lineRule="auto"/>
        <w:ind w:firstLine="560" w:firstLineChars="200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3.机器人要完成的“物品分拣 ”任务是设计制作或改装一款机器人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能够自主分拣出任务区内指定颜色的物品并送至物品收纳桶内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由基本任务和挑战任务两部分组成。</w:t>
      </w:r>
    </w:p>
    <w:p>
      <w:pPr>
        <w:autoSpaceDE/>
        <w:autoSpaceDN/>
        <w:spacing w:line="276" w:lineRule="auto"/>
        <w:ind w:firstLine="562" w:firstLineChars="200"/>
        <w:jc w:val="both"/>
        <w:rPr>
          <w:rFonts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Hans" w:bidi="ar-SA"/>
        </w:rPr>
      </w:pPr>
      <w:r>
        <w:rPr>
          <w:rFonts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Hans" w:bidi="ar-SA"/>
        </w:rPr>
        <w:t>4.</w:t>
      </w:r>
      <w:r>
        <w:rPr>
          <w:rFonts w:hint="eastAsia"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Hans" w:bidi="ar-SA"/>
        </w:rPr>
        <w:t>1</w:t>
      </w:r>
      <w:r>
        <w:rPr>
          <w:rFonts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Hans" w:bidi="ar-SA"/>
        </w:rPr>
        <w:t>基本任务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机器人从出发区出发前往任务区</w:t>
      </w:r>
    </w:p>
    <w:p>
      <w:pPr>
        <w:numPr>
          <w:ilvl w:val="255"/>
          <w:numId w:val="0"/>
        </w:num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①</w:t>
      </w:r>
      <w:r>
        <w:rPr>
          <w:rFonts w:hint="eastAsia" w:cs="仿宋_GB2312" w:asciiTheme="minorEastAsia" w:hAnsiTheme="minorEastAsia" w:eastAsiaTheme="minorEastAsia"/>
          <w:sz w:val="28"/>
          <w:szCs w:val="28"/>
          <w:lang w:val="en-US" w:eastAsia="zh-CN"/>
        </w:rPr>
        <w:t>将基本任务区内的</w:t>
      </w:r>
      <w:r>
        <w:rPr>
          <w:rFonts w:cs="仿宋_GB2312" w:asciiTheme="minorEastAsia" w:hAnsiTheme="minorEastAsia" w:eastAsiaTheme="minorEastAsia"/>
          <w:sz w:val="28"/>
          <w:szCs w:val="28"/>
          <w:lang w:val="en-US" w:eastAsia="zh-CN"/>
        </w:rPr>
        <w:t>4个待分拣物品（红色和绿色各2个）中的红色物品分拣出来，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物品垂直投影完全移开摆放位置</w:t>
      </w:r>
      <w:r>
        <w:rPr>
          <w:rFonts w:hint="eastAsia" w:cs="仿宋_GB2312" w:asciiTheme="minorEastAsia" w:hAnsiTheme="minorEastAsia" w:eastAsiaTheme="minorEastAsia"/>
          <w:sz w:val="28"/>
          <w:szCs w:val="28"/>
          <w:lang w:val="en-US" w:eastAsia="zh-CN"/>
        </w:rPr>
        <w:t>（以前两次挪动的物品为准）；</w:t>
      </w:r>
    </w:p>
    <w:p>
      <w:pPr>
        <w:numPr>
          <w:ilvl w:val="255"/>
          <w:numId w:val="0"/>
        </w:numPr>
        <w:autoSpaceDE/>
        <w:autoSpaceDN/>
        <w:spacing w:line="276" w:lineRule="auto"/>
        <w:ind w:firstLine="560" w:firstLineChars="200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②将红色物品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送至任意一个物品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收纳区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内，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越靠近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同心正方形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中心得分越高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。</w:t>
      </w:r>
    </w:p>
    <w:p>
      <w:pPr>
        <w:numPr>
          <w:ilvl w:val="255"/>
          <w:numId w:val="0"/>
        </w:numPr>
        <w:autoSpaceDE/>
        <w:autoSpaceDN/>
        <w:spacing w:line="276" w:lineRule="auto"/>
        <w:ind w:firstLine="560" w:firstLineChars="200"/>
        <w:jc w:val="both"/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③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机器人移动到挑战区，机器设备垂直投影完全越过场地中间围挡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且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横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梁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未掉落。</w:t>
      </w:r>
    </w:p>
    <w:p>
      <w:pPr>
        <w:autoSpaceDE/>
        <w:autoSpaceDN/>
        <w:spacing w:line="276" w:lineRule="auto"/>
        <w:ind w:firstLine="562" w:firstLineChars="200"/>
        <w:jc w:val="both"/>
        <w:rPr>
          <w:rFonts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CN" w:bidi="ar-SA"/>
        </w:rPr>
        <w:t>4</w:t>
      </w:r>
      <w:r>
        <w:rPr>
          <w:rFonts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CN" w:bidi="ar-SA"/>
        </w:rPr>
        <w:t>.</w:t>
      </w:r>
      <w:r>
        <w:rPr>
          <w:rFonts w:hint="eastAsia"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CN" w:bidi="ar-SA"/>
        </w:rPr>
        <w:t>2挑战任务</w:t>
      </w:r>
    </w:p>
    <w:p>
      <w:pPr>
        <w:numPr>
          <w:ilvl w:val="255"/>
          <w:numId w:val="0"/>
        </w:numPr>
        <w:autoSpaceDE/>
        <w:autoSpaceDN/>
        <w:spacing w:line="276" w:lineRule="auto"/>
        <w:ind w:firstLine="560" w:firstLineChars="200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挑战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任务区设置有一个半径约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50cm的大圆，内部有一个半径约为10cm的小圆，在大圆上平均分布放有四个蓝色立方体，长宽为8cm，高度为4cm和8cm两种，随机抽选放在四个位置。待分拣物品（红色绿色各2个）随机摆放在内部的小圆内，机器人需将2个红色物品分拣至8cm收纳台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上方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将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2个绿色物品分拣至4cm收纳台上方。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两个红色物品分别放在两个高为8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cm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的收纳台和两个绿色物品分别放在两个高为4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cm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的收纳台上得分更高。</w:t>
      </w:r>
    </w:p>
    <w:p>
      <w:pPr>
        <w:autoSpaceDE/>
        <w:autoSpaceDN/>
        <w:spacing w:line="276" w:lineRule="auto"/>
        <w:ind w:firstLine="562" w:firstLineChars="200"/>
        <w:rPr>
          <w:rFonts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CN" w:bidi="ar-SA"/>
        </w:rPr>
        <w:t>5</w:t>
      </w:r>
      <w:r>
        <w:rPr>
          <w:rFonts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CN" w:bidi="ar-SA"/>
        </w:rPr>
        <w:t>.</w:t>
      </w:r>
      <w:r>
        <w:rPr>
          <w:rFonts w:hint="eastAsia"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Hans" w:bidi="ar-SA"/>
        </w:rPr>
        <w:t xml:space="preserve"> 难度分类</w:t>
      </w:r>
    </w:p>
    <w:p>
      <w:pPr>
        <w:autoSpaceDE/>
        <w:autoSpaceDN/>
        <w:spacing w:line="276" w:lineRule="auto"/>
        <w:ind w:firstLine="560" w:firstLineChars="200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此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项目根据机器人的类型分别设置了不同的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难度系数分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，通常而言机器人腿部数量的多寡与其运动维度的丰富程度紧密相连，腿部数量越少，所对应的可灵活调整的运动维度就越有限。这便给机器人完成复杂任务带来了巨大挑战，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 xml:space="preserve"> 因为在此情形下，为实现预期目标，所需设计的器材运动算法 的难度系数会显著提高。在最终的任务完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成评分环节，我们将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 xml:space="preserve"> 依据以下特定系数与实际得分的乘积，来确定该机器人项目的 最终得分，以此精准衡量其综合表现与成效。 </w:t>
      </w:r>
    </w:p>
    <w:p>
      <w:pPr>
        <w:numPr>
          <w:ilvl w:val="255"/>
          <w:numId w:val="0"/>
        </w:num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具体得分系数如下：</w:t>
      </w:r>
    </w:p>
    <w:tbl>
      <w:tblPr>
        <w:tblStyle w:val="13"/>
        <w:tblW w:w="52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18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5" w:hRule="atLeast"/>
          <w:tblHeader/>
          <w:jc w:val="center"/>
        </w:trPr>
        <w:tc>
          <w:tcPr>
            <w:tcW w:w="3402" w:type="dxa"/>
            <w:vAlign w:val="center"/>
          </w:tcPr>
          <w:p>
            <w:pPr>
              <w:numPr>
                <w:ilvl w:val="255"/>
                <w:numId w:val="0"/>
              </w:numPr>
              <w:autoSpaceDE/>
              <w:autoSpaceDN/>
              <w:spacing w:line="276" w:lineRule="auto"/>
              <w:jc w:val="center"/>
              <w:rPr>
                <w:rFonts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</w:pPr>
            <w:r>
              <w:rPr>
                <w:rFonts w:hint="eastAsia"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  <w:t>机器人难度分类</w:t>
            </w:r>
          </w:p>
        </w:tc>
        <w:tc>
          <w:tcPr>
            <w:tcW w:w="1837" w:type="dxa"/>
            <w:vAlign w:val="center"/>
          </w:tcPr>
          <w:p>
            <w:pPr>
              <w:numPr>
                <w:ilvl w:val="255"/>
                <w:numId w:val="0"/>
              </w:numPr>
              <w:autoSpaceDE/>
              <w:autoSpaceDN/>
              <w:spacing w:line="276" w:lineRule="auto"/>
              <w:jc w:val="center"/>
              <w:rPr>
                <w:rFonts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</w:pPr>
            <w:r>
              <w:rPr>
                <w:rFonts w:hint="eastAsia"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  <w:t>系数得分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3402" w:type="dxa"/>
            <w:vAlign w:val="center"/>
          </w:tcPr>
          <w:p>
            <w:pPr>
              <w:numPr>
                <w:ilvl w:val="255"/>
                <w:numId w:val="0"/>
              </w:numPr>
              <w:autoSpaceDE/>
              <w:autoSpaceDN/>
              <w:spacing w:line="276" w:lineRule="auto"/>
              <w:jc w:val="center"/>
              <w:rPr>
                <w:rFonts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</w:pPr>
            <w:r>
              <w:rPr>
                <w:rFonts w:hint="eastAsia"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  <w:t>双足机器人</w:t>
            </w:r>
          </w:p>
        </w:tc>
        <w:tc>
          <w:tcPr>
            <w:tcW w:w="1837" w:type="dxa"/>
            <w:vAlign w:val="center"/>
          </w:tcPr>
          <w:p>
            <w:pPr>
              <w:numPr>
                <w:ilvl w:val="255"/>
                <w:numId w:val="0"/>
              </w:numPr>
              <w:autoSpaceDE/>
              <w:autoSpaceDN/>
              <w:spacing w:line="276" w:lineRule="auto"/>
              <w:jc w:val="center"/>
              <w:rPr>
                <w:rFonts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</w:pPr>
            <w:r>
              <w:rPr>
                <w:rFonts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  <w:t>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3402" w:type="dxa"/>
            <w:vAlign w:val="center"/>
          </w:tcPr>
          <w:p>
            <w:pPr>
              <w:numPr>
                <w:ilvl w:val="255"/>
                <w:numId w:val="0"/>
              </w:numPr>
              <w:autoSpaceDE/>
              <w:autoSpaceDN/>
              <w:spacing w:line="276" w:lineRule="auto"/>
              <w:jc w:val="center"/>
              <w:rPr>
                <w:rFonts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</w:pPr>
            <w:r>
              <w:rPr>
                <w:rFonts w:hint="eastAsia"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  <w:t>四足机器人</w:t>
            </w:r>
          </w:p>
        </w:tc>
        <w:tc>
          <w:tcPr>
            <w:tcW w:w="1837" w:type="dxa"/>
            <w:vAlign w:val="center"/>
          </w:tcPr>
          <w:p>
            <w:pPr>
              <w:numPr>
                <w:ilvl w:val="255"/>
                <w:numId w:val="0"/>
              </w:numPr>
              <w:autoSpaceDE/>
              <w:autoSpaceDN/>
              <w:spacing w:line="276" w:lineRule="auto"/>
              <w:jc w:val="center"/>
              <w:rPr>
                <w:rFonts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</w:pPr>
            <w:r>
              <w:rPr>
                <w:rFonts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3402" w:type="dxa"/>
            <w:vAlign w:val="center"/>
          </w:tcPr>
          <w:p>
            <w:pPr>
              <w:numPr>
                <w:ilvl w:val="255"/>
                <w:numId w:val="0"/>
              </w:numPr>
              <w:autoSpaceDE/>
              <w:autoSpaceDN/>
              <w:spacing w:line="276" w:lineRule="auto"/>
              <w:jc w:val="center"/>
              <w:rPr>
                <w:rFonts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</w:pPr>
            <w:r>
              <w:rPr>
                <w:rFonts w:hint="eastAsia"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  <w:t>六足机器人</w:t>
            </w:r>
          </w:p>
        </w:tc>
        <w:tc>
          <w:tcPr>
            <w:tcW w:w="1837" w:type="dxa"/>
            <w:vAlign w:val="center"/>
          </w:tcPr>
          <w:p>
            <w:pPr>
              <w:numPr>
                <w:ilvl w:val="255"/>
                <w:numId w:val="0"/>
              </w:numPr>
              <w:autoSpaceDE/>
              <w:autoSpaceDN/>
              <w:spacing w:line="276" w:lineRule="auto"/>
              <w:jc w:val="center"/>
              <w:rPr>
                <w:rFonts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</w:pPr>
            <w:r>
              <w:rPr>
                <w:rFonts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3402" w:type="dxa"/>
            <w:vAlign w:val="center"/>
          </w:tcPr>
          <w:p>
            <w:pPr>
              <w:numPr>
                <w:ilvl w:val="255"/>
                <w:numId w:val="0"/>
              </w:numPr>
              <w:autoSpaceDE/>
              <w:autoSpaceDN/>
              <w:spacing w:line="276" w:lineRule="auto"/>
              <w:jc w:val="center"/>
              <w:rPr>
                <w:rFonts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</w:pPr>
            <w:r>
              <w:rPr>
                <w:rFonts w:hint="eastAsia"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  <w:t>八足机器人</w:t>
            </w:r>
          </w:p>
        </w:tc>
        <w:tc>
          <w:tcPr>
            <w:tcW w:w="1837" w:type="dxa"/>
            <w:vAlign w:val="center"/>
          </w:tcPr>
          <w:p>
            <w:pPr>
              <w:numPr>
                <w:ilvl w:val="255"/>
                <w:numId w:val="0"/>
              </w:numPr>
              <w:autoSpaceDE/>
              <w:autoSpaceDN/>
              <w:spacing w:line="276" w:lineRule="auto"/>
              <w:jc w:val="center"/>
              <w:rPr>
                <w:rFonts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</w:pPr>
            <w:r>
              <w:rPr>
                <w:rFonts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3402" w:type="dxa"/>
            <w:vAlign w:val="center"/>
          </w:tcPr>
          <w:p>
            <w:pPr>
              <w:numPr>
                <w:ilvl w:val="255"/>
                <w:numId w:val="0"/>
              </w:numPr>
              <w:autoSpaceDE/>
              <w:autoSpaceDN/>
              <w:spacing w:line="276" w:lineRule="auto"/>
              <w:jc w:val="center"/>
              <w:rPr>
                <w:rFonts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</w:pPr>
            <w:r>
              <w:rPr>
                <w:rFonts w:hint="eastAsia"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  <w:t>连杆</w:t>
            </w:r>
            <w:r>
              <w:rPr>
                <w:rFonts w:hint="eastAsia" w:cs="仿宋_GB2312" w:asciiTheme="minorEastAsia" w:hAnsiTheme="minorEastAsia" w:eastAsiaTheme="minorEastAsia"/>
                <w:kern w:val="2"/>
                <w:sz w:val="28"/>
                <w:szCs w:val="28"/>
                <w:lang w:val="en-US" w:eastAsia="zh-CN" w:bidi="ar-SA"/>
              </w:rPr>
              <w:t>机器人</w:t>
            </w:r>
          </w:p>
        </w:tc>
        <w:tc>
          <w:tcPr>
            <w:tcW w:w="1837" w:type="dxa"/>
            <w:vAlign w:val="center"/>
          </w:tcPr>
          <w:p>
            <w:pPr>
              <w:numPr>
                <w:ilvl w:val="255"/>
                <w:numId w:val="0"/>
              </w:numPr>
              <w:autoSpaceDE/>
              <w:autoSpaceDN/>
              <w:spacing w:line="276" w:lineRule="auto"/>
              <w:jc w:val="center"/>
              <w:rPr>
                <w:rFonts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</w:pPr>
            <w:r>
              <w:rPr>
                <w:rFonts w:cs="仿宋_GB2312" w:asciiTheme="minorEastAsia" w:hAnsiTheme="minorEastAsia" w:eastAsiaTheme="minorEastAsia"/>
                <w:kern w:val="2"/>
                <w:sz w:val="28"/>
                <w:szCs w:val="28"/>
                <w:lang w:val="en-US" w:eastAsia="zh-Hans" w:bidi="ar-SA"/>
              </w:rPr>
              <w:t>0.4</w:t>
            </w:r>
          </w:p>
        </w:tc>
      </w:tr>
    </w:tbl>
    <w:p>
      <w:pPr>
        <w:numPr>
          <w:ilvl w:val="255"/>
          <w:numId w:val="0"/>
        </w:numPr>
        <w:autoSpaceDE/>
        <w:autoSpaceDN/>
        <w:spacing w:line="276" w:lineRule="auto"/>
        <w:ind w:firstLine="560" w:firstLineChars="200"/>
        <w:jc w:val="both"/>
        <w:rPr>
          <w:rFonts w:asciiTheme="minorEastAsia" w:hAnsiTheme="minorEastAsia" w:eastAsiaTheme="minorEastAsia"/>
          <w:color w:val="000000"/>
          <w:sz w:val="28"/>
          <w:szCs w:val="28"/>
          <w:lang w:val="en-US" w:eastAsia="zh-CN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任务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得分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=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（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基础任务得分+挑战任务得分）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Hans" w:bidi="ar-SA"/>
        </w:rPr>
        <w:t>*系数</w:t>
      </w:r>
    </w:p>
    <w:p>
      <w:pPr>
        <w:autoSpaceDE/>
        <w:autoSpaceDN/>
        <w:spacing w:line="276" w:lineRule="auto"/>
        <w:ind w:firstLine="562" w:firstLineChars="200"/>
        <w:jc w:val="both"/>
        <w:rPr>
          <w:rFonts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Hans" w:bidi="ar-SA"/>
        </w:rPr>
        <w:t>6</w:t>
      </w:r>
      <w:r>
        <w:rPr>
          <w:rFonts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Hans" w:bidi="ar-SA"/>
        </w:rPr>
        <w:t>. 交流</w:t>
      </w:r>
      <w:r>
        <w:rPr>
          <w:rFonts w:hint="eastAsia"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CN" w:bidi="ar-SA"/>
        </w:rPr>
        <w:t>答辩</w:t>
      </w:r>
      <w:r>
        <w:rPr>
          <w:rFonts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Hans" w:bidi="ar-SA"/>
        </w:rPr>
        <w:t>环节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任务环节后，进行展示交流环节。由场内专家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结合现场调试与比赛的情况以及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机器人的设计制作难易程度、结构特点、编程特色、解决方案、创新之处等方面进行提问和交流，参与学生需在现场有针对性地予以解答和介绍。</w:t>
      </w:r>
    </w:p>
    <w:p>
      <w:pPr>
        <w:pStyle w:val="6"/>
        <w:spacing w:before="91" w:line="276" w:lineRule="auto"/>
        <w:ind w:left="440"/>
        <w:outlineLvl w:val="0"/>
        <w:rPr>
          <w:b/>
          <w:bCs/>
          <w:spacing w:val="-6"/>
          <w:lang w:eastAsia="zh-CN"/>
          <w14:textOutline w14:w="5092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cs="仿宋_GB2312" w:asciiTheme="minorEastAsia" w:hAnsiTheme="minorEastAsia" w:eastAsiaTheme="minorEastAsia"/>
          <w:b/>
          <w:bCs/>
          <w:kern w:val="2"/>
          <w:lang w:val="en-US" w:eastAsia="zh-Hans" w:bidi="ar-SA"/>
        </w:rPr>
        <w:t xml:space="preserve"> </w:t>
      </w:r>
      <w:r>
        <w:rPr>
          <w:rFonts w:hint="eastAsia" w:cs="仿宋_GB2312" w:asciiTheme="minorEastAsia" w:hAnsiTheme="minorEastAsia" w:eastAsiaTheme="minorEastAsia"/>
          <w:b/>
          <w:bCs/>
          <w:kern w:val="2"/>
          <w:lang w:val="en-US" w:eastAsia="zh-CN" w:bidi="ar-SA"/>
        </w:rPr>
        <w:t>五</w:t>
      </w:r>
      <w:r>
        <w:rPr>
          <w:rFonts w:hint="eastAsia"/>
          <w:b/>
          <w:bCs/>
          <w:spacing w:val="-6"/>
          <w:lang w:eastAsia="zh-CN"/>
          <w14:textOutline w14:w="5092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、活动流程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1.参加展示要求：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每支队伍不超过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 xml:space="preserve">2人，每支队伍限报1名指导教师，以学校为单位报名。 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 xml:space="preserve">2. 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参展队员需自备机器人及笔记本电脑等工具入场展示，各组别机器人需独立准备，不得共享。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 xml:space="preserve"> 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3. 检录与抽签：参加展示队检录后，编程与调试阶段前，评委和选手代表抽签决定各任务平台和任务区域的位置。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5.展示前10分钟评委开始检查参加展示队员的器材是否符合规则要求，不符合规则要求的需到场外进行整改，待评委允许后方可进场，展示会按时开始。在检查完成后，由评委长抽取场地中的变化量，一旦抽签之后，在整场展示中，场地道具位置保持不变，该组别所有展示场地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保持一致。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 xml:space="preserve">6. 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每轮展示分为三个阶段：调试阶段、封存阶段和展示阶段。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7.编程与调试阶段：第一轮调试时间120分钟，第二轮调试时间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60分钟，展示时间可由组委会根据现场情况予以调整。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8.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机器人封存阶段：在调试时间结束后，展示选手需关闭机器人电源，按评委要求贴好自己的参加展示编号，上交机器人统一封存。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如果需要电脑启动的，电脑或者平板等设备一并封存。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9.展示阶段：展示分两轮，每轮5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分钟。每一轮参加展示队员确认已准备好后，举手示意，评委发出开始指令后即可启动机器人。在评委发出启动信号前启动机器人将被警告或处罚。机器人一旦离开起始区，选手不能再碰触机器人或者启动装置。机器人从起始区出发后去完成任务，第一轮展示结束后，参加展示队员需要将机器人和电脑放回封存区，等待第二轮调试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10.基地是选手可以合规接触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机器人的区域。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11.展示结束的判定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每轮展示活动结束包括以下情况：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（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1）展示时间到达5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分钟。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（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2）展示时间未到5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分钟，但参加展示队伍不准备继续展示或已完成所有任务，向评委示意结束展示。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（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3）在展示过程中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机器人重启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3次以上。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（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4）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机器人垂直投影完全离开场地地图区域。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12.重启以及处罚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（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1）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机器人启动后，允许重启。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（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2）选手在基地外接触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机器人或场地道具，凡是未在基地接触机器人，均视为重启，每重启一次扣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5分，坠机次数超过3次视为本轮展示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结束。</w:t>
      </w:r>
    </w:p>
    <w:p>
      <w:pPr>
        <w:autoSpaceDE/>
        <w:autoSpaceDN/>
        <w:spacing w:line="276" w:lineRule="auto"/>
        <w:ind w:firstLine="562" w:firstLineChars="200"/>
        <w:jc w:val="both"/>
        <w:rPr>
          <w:rFonts w:cs="仿宋_GB2312" w:asciiTheme="minorEastAsia" w:hAnsiTheme="minorEastAsia" w:eastAsiaTheme="minorEastAsia"/>
          <w:b/>
          <w:bCs/>
          <w:kern w:val="2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CN" w:bidi="ar-SA"/>
        </w:rPr>
        <w:t>六、评分标准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1.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总分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 xml:space="preserve"> = 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 xml:space="preserve">两轮任务得分+交流答辩得分 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- 处罚分。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2.在展示中，每个参加展示队伍有两轮展示机会，最终成绩为两轮得分相加数。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3.最终以得分最高的队伍胜出。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4.参加展示队伍的得分不会为负分，最低为零分。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5.排名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某一组别的全部展示结束后，按参加展示队伍所有轮次总分进行排名。如果出现队伍平分情况，按以下顺序破平：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（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1）最高分场次用时少的队伍在前。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（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2）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机器人重量少的队伍在前。</w:t>
      </w:r>
    </w:p>
    <w:p>
      <w:pPr>
        <w:autoSpaceDE/>
        <w:autoSpaceDN/>
        <w:spacing w:line="276" w:lineRule="auto"/>
        <w:ind w:firstLine="562" w:firstLineChars="200"/>
        <w:jc w:val="both"/>
        <w:rPr>
          <w:rFonts w:cs="仿宋_GB2312" w:asciiTheme="minorEastAsia" w:hAnsiTheme="minorEastAsia" w:eastAsiaTheme="minorEastAsia"/>
          <w:b/>
          <w:bCs/>
          <w:kern w:val="2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CN" w:bidi="ar-SA"/>
        </w:rPr>
        <w:t>七、</w:t>
      </w:r>
      <w:r>
        <w:rPr>
          <w:rFonts w:cs="仿宋_GB2312" w:asciiTheme="minorEastAsia" w:hAnsiTheme="minorEastAsia" w:eastAsiaTheme="minorEastAsia"/>
          <w:b/>
          <w:bCs/>
          <w:kern w:val="2"/>
          <w:sz w:val="28"/>
          <w:szCs w:val="28"/>
          <w:lang w:val="en-US" w:eastAsia="zh-CN" w:bidi="ar-SA"/>
        </w:rPr>
        <w:t>犯规与取消展示资格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1.经过催促仍未及时到达展示场地参加展示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的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队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伍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将取消其本轮展示资格。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2.展示前准备场地时间超过2分钟，机器人仍未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启动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的，取消其本轮展示资格。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3.言行干扰他人正常展示,严重危害展示场秩序的队伍取消展示资格。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4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.参加展示选手不听从评委的指令将被取消展示资格。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5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.参加展示选手第一次误启动将受到评委警告，第二次误启动将按本轮展示弃权处理。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6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.参加展示选手在未经评委允许的情况下，在展示场内擅自与教练员或家长联系，将被立即取消所有展示成绩。</w:t>
      </w:r>
    </w:p>
    <w:p>
      <w:pPr>
        <w:autoSpaceDE/>
        <w:autoSpaceDN/>
        <w:spacing w:line="276" w:lineRule="auto"/>
        <w:ind w:firstLine="560" w:firstLineChars="200"/>
        <w:jc w:val="both"/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7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.在评委的酌定下，反复犯规和被取消展示资格的某一参加展示队</w:t>
      </w:r>
      <w:r>
        <w:rPr>
          <w:rFonts w:hint="eastAsia"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伍</w:t>
      </w:r>
      <w:r>
        <w:rPr>
          <w:rFonts w:cs="仿宋_GB2312" w:asciiTheme="minorEastAsia" w:hAnsiTheme="minorEastAsia" w:eastAsiaTheme="minorEastAsia"/>
          <w:kern w:val="2"/>
          <w:sz w:val="28"/>
          <w:szCs w:val="28"/>
          <w:lang w:val="en-US" w:eastAsia="zh-CN" w:bidi="ar-SA"/>
        </w:rPr>
        <w:t>可能被禁止参加所有后续场次的展示。</w:t>
      </w:r>
    </w:p>
    <w:sectPr>
      <w:footerReference r:id="rId3" w:type="default"/>
      <w:pgSz w:w="11910" w:h="16840"/>
      <w:pgMar w:top="1520" w:right="1400" w:bottom="1380" w:left="1680" w:header="0" w:footer="1194" w:gutter="0"/>
      <w:pgNumType w:fmt="numberInDash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1FD1D8B-271B-4087-8A60-2CD3BDBAF0B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AB85E34B-D2EA-4679-920B-8B8287CEFD38}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M6pebnPAAAABQEAAA8AAAAAAAAAAQAgAAAAIgAAAGRycy9kb3ducmV2LnhtbFBLAQIU&#10;ABQAAAAIAIdO4kDTOOK6wwEAAJADAAAOAAAAAAAAAAEAIAAAAB4BAABkcnMvZTJvRG9jLnhtbFBL&#10;BQYAAAAABgAGAFkBAABT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EE3B84"/>
    <w:multiLevelType w:val="singleLevel"/>
    <w:tmpl w:val="B6EE3B8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720"/>
  <w:drawingGridHorizontalSpacing w:val="110"/>
  <w:noPunctuationKerning w:val="1"/>
  <w:characterSpacingControl w:val="doNotCompress"/>
  <w:compat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FhNjU3NjhjOWM3NTJiNWViMTRiOGRlMDE1MTBjNGIifQ=="/>
    <w:docVar w:name="KSO_WPS_MARK_KEY" w:val="f18f8e3d-9b31-4a54-99ff-0c4eefd83046"/>
  </w:docVars>
  <w:rsids>
    <w:rsidRoot w:val="001472C4"/>
    <w:rsid w:val="00055A73"/>
    <w:rsid w:val="000E48C0"/>
    <w:rsid w:val="001139D0"/>
    <w:rsid w:val="001472C4"/>
    <w:rsid w:val="00147E58"/>
    <w:rsid w:val="001807B5"/>
    <w:rsid w:val="00287387"/>
    <w:rsid w:val="002A5F77"/>
    <w:rsid w:val="002B5A44"/>
    <w:rsid w:val="002E62AA"/>
    <w:rsid w:val="003148D4"/>
    <w:rsid w:val="003400FE"/>
    <w:rsid w:val="00361588"/>
    <w:rsid w:val="003739F8"/>
    <w:rsid w:val="003D7E88"/>
    <w:rsid w:val="00403427"/>
    <w:rsid w:val="004E0CF5"/>
    <w:rsid w:val="00577F4B"/>
    <w:rsid w:val="00636DAA"/>
    <w:rsid w:val="00743D99"/>
    <w:rsid w:val="007C3BCB"/>
    <w:rsid w:val="007F2F54"/>
    <w:rsid w:val="00812976"/>
    <w:rsid w:val="00823B18"/>
    <w:rsid w:val="00844502"/>
    <w:rsid w:val="008C525A"/>
    <w:rsid w:val="00922505"/>
    <w:rsid w:val="00923401"/>
    <w:rsid w:val="00927CF8"/>
    <w:rsid w:val="0095330A"/>
    <w:rsid w:val="009E435A"/>
    <w:rsid w:val="00A445FC"/>
    <w:rsid w:val="00A66022"/>
    <w:rsid w:val="00A84D60"/>
    <w:rsid w:val="00A953E0"/>
    <w:rsid w:val="00A96D49"/>
    <w:rsid w:val="00AD2D9C"/>
    <w:rsid w:val="00AE6B96"/>
    <w:rsid w:val="00AF68DF"/>
    <w:rsid w:val="00B02EE2"/>
    <w:rsid w:val="00B1098D"/>
    <w:rsid w:val="00B264D1"/>
    <w:rsid w:val="00BC240A"/>
    <w:rsid w:val="00BC71A4"/>
    <w:rsid w:val="00C04D0F"/>
    <w:rsid w:val="00C9777F"/>
    <w:rsid w:val="00CB7BD5"/>
    <w:rsid w:val="00CC6653"/>
    <w:rsid w:val="00CE5D64"/>
    <w:rsid w:val="00D07232"/>
    <w:rsid w:val="00D141BE"/>
    <w:rsid w:val="00D5229C"/>
    <w:rsid w:val="00D6173D"/>
    <w:rsid w:val="00D65142"/>
    <w:rsid w:val="00D776FC"/>
    <w:rsid w:val="00DA4308"/>
    <w:rsid w:val="00E025EB"/>
    <w:rsid w:val="00E27FAD"/>
    <w:rsid w:val="00E65660"/>
    <w:rsid w:val="00E66A71"/>
    <w:rsid w:val="00EB1098"/>
    <w:rsid w:val="00EC2C27"/>
    <w:rsid w:val="00EE4387"/>
    <w:rsid w:val="00EF61BC"/>
    <w:rsid w:val="00FB7ADE"/>
    <w:rsid w:val="00FF493E"/>
    <w:rsid w:val="00FF5754"/>
    <w:rsid w:val="03190CB5"/>
    <w:rsid w:val="035D1000"/>
    <w:rsid w:val="04DD641C"/>
    <w:rsid w:val="085D3F1F"/>
    <w:rsid w:val="08EE77B6"/>
    <w:rsid w:val="0C5B4ED4"/>
    <w:rsid w:val="0FCC46DD"/>
    <w:rsid w:val="102A0350"/>
    <w:rsid w:val="12B02CB8"/>
    <w:rsid w:val="148D2ADC"/>
    <w:rsid w:val="18DF7E53"/>
    <w:rsid w:val="190D2C12"/>
    <w:rsid w:val="19FE04BE"/>
    <w:rsid w:val="1A490490"/>
    <w:rsid w:val="1B016C7C"/>
    <w:rsid w:val="1E151D13"/>
    <w:rsid w:val="22F4099F"/>
    <w:rsid w:val="247B6AAB"/>
    <w:rsid w:val="24B31B60"/>
    <w:rsid w:val="25800BD8"/>
    <w:rsid w:val="26A36A6E"/>
    <w:rsid w:val="288348A6"/>
    <w:rsid w:val="2CF21602"/>
    <w:rsid w:val="2FAD2FD6"/>
    <w:rsid w:val="315C42DF"/>
    <w:rsid w:val="3276452F"/>
    <w:rsid w:val="32D07E75"/>
    <w:rsid w:val="3415168A"/>
    <w:rsid w:val="349B7E62"/>
    <w:rsid w:val="34E57465"/>
    <w:rsid w:val="34FA0BAE"/>
    <w:rsid w:val="35C07A3B"/>
    <w:rsid w:val="3A5A2A5C"/>
    <w:rsid w:val="3A731866"/>
    <w:rsid w:val="3AA767AF"/>
    <w:rsid w:val="3BA343FB"/>
    <w:rsid w:val="3C420ECF"/>
    <w:rsid w:val="3FBC2AD2"/>
    <w:rsid w:val="3FDE58E1"/>
    <w:rsid w:val="3FF1D82A"/>
    <w:rsid w:val="4298064E"/>
    <w:rsid w:val="492B5E2E"/>
    <w:rsid w:val="4AD351BA"/>
    <w:rsid w:val="4C8E3041"/>
    <w:rsid w:val="4CE149D8"/>
    <w:rsid w:val="4D5920ED"/>
    <w:rsid w:val="4F316279"/>
    <w:rsid w:val="53881DDD"/>
    <w:rsid w:val="548D2CE7"/>
    <w:rsid w:val="57F528E9"/>
    <w:rsid w:val="5B6C6E75"/>
    <w:rsid w:val="5B9C65AD"/>
    <w:rsid w:val="5BE97347"/>
    <w:rsid w:val="5D096544"/>
    <w:rsid w:val="5D61427B"/>
    <w:rsid w:val="5EAC73D7"/>
    <w:rsid w:val="60151F2C"/>
    <w:rsid w:val="601716BA"/>
    <w:rsid w:val="61407A82"/>
    <w:rsid w:val="6415023F"/>
    <w:rsid w:val="64A72D12"/>
    <w:rsid w:val="650E0E71"/>
    <w:rsid w:val="66132FB0"/>
    <w:rsid w:val="6AE77CD6"/>
    <w:rsid w:val="6B5A1A15"/>
    <w:rsid w:val="6F4B4910"/>
    <w:rsid w:val="6FB40867"/>
    <w:rsid w:val="70B75DA3"/>
    <w:rsid w:val="710306CE"/>
    <w:rsid w:val="71412A85"/>
    <w:rsid w:val="716320A8"/>
    <w:rsid w:val="751110BA"/>
    <w:rsid w:val="759F4A64"/>
    <w:rsid w:val="763C50FC"/>
    <w:rsid w:val="7A3D2DD1"/>
    <w:rsid w:val="99FCE4C4"/>
    <w:rsid w:val="AE6DC818"/>
    <w:rsid w:val="D3E79DBA"/>
    <w:rsid w:val="E66FB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TW" w:eastAsia="zh-TW" w:bidi="zh-TW"/>
    </w:rPr>
  </w:style>
  <w:style w:type="paragraph" w:styleId="3">
    <w:name w:val="heading 1"/>
    <w:basedOn w:val="1"/>
    <w:next w:val="1"/>
    <w:qFormat/>
    <w:uiPriority w:val="1"/>
    <w:pPr>
      <w:spacing w:before="211"/>
      <w:ind w:left="120"/>
      <w:outlineLvl w:val="0"/>
    </w:pPr>
    <w:rPr>
      <w:b/>
      <w:bCs/>
      <w:sz w:val="28"/>
      <w:szCs w:val="28"/>
    </w:rPr>
  </w:style>
  <w:style w:type="paragraph" w:styleId="4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仿宋_GB2312"/>
      <w:b/>
      <w:sz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ind w:left="420" w:leftChars="200"/>
    </w:pPr>
    <w:rPr>
      <w:rFonts w:ascii="Calibri" w:hAnsi="Calibri" w:cs="Times New Roman"/>
      <w:kern w:val="2"/>
      <w:sz w:val="21"/>
      <w:szCs w:val="24"/>
      <w:lang w:val="en-US" w:eastAsia="zh-CN" w:bidi="ar-SA"/>
    </w:rPr>
  </w:style>
  <w:style w:type="paragraph" w:styleId="5">
    <w:name w:val="annotation text"/>
    <w:basedOn w:val="1"/>
    <w:qFormat/>
    <w:uiPriority w:val="0"/>
  </w:style>
  <w:style w:type="paragraph" w:styleId="6">
    <w:name w:val="Body Text"/>
    <w:basedOn w:val="1"/>
    <w:autoRedefine/>
    <w:qFormat/>
    <w:uiPriority w:val="1"/>
    <w:rPr>
      <w:sz w:val="28"/>
      <w:szCs w:val="2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9">
    <w:name w:val="toc 1"/>
    <w:next w:val="1"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10">
    <w:name w:val="Normal (Web)"/>
    <w:basedOn w:val="1"/>
    <w:qFormat/>
    <w:uiPriority w:val="0"/>
    <w:pPr>
      <w:widowControl/>
      <w:kinsoku w:val="0"/>
      <w:adjustRightInd w:val="0"/>
      <w:snapToGrid w:val="0"/>
      <w:spacing w:beforeAutospacing="1" w:afterAutospacing="1"/>
      <w:textAlignment w:val="baseline"/>
    </w:pPr>
    <w:rPr>
      <w:rFonts w:ascii="Arial" w:hAnsi="Arial" w:eastAsia="Arial" w:cs="Times New Roman"/>
      <w:snapToGrid w:val="0"/>
      <w:color w:val="000000"/>
      <w:sz w:val="24"/>
      <w:szCs w:val="21"/>
    </w:rPr>
  </w:style>
  <w:style w:type="paragraph" w:styleId="11">
    <w:name w:val="Body Text First Indent"/>
    <w:basedOn w:val="6"/>
    <w:qFormat/>
    <w:uiPriority w:val="0"/>
    <w:pPr>
      <w:spacing w:line="500" w:lineRule="exact"/>
      <w:ind w:firstLine="420"/>
    </w:pPr>
    <w:rPr>
      <w:rFonts w:ascii="Times New Roman" w:hAnsi="Times New Roman" w:eastAsia="仿宋_GB2312" w:cs="Times New Roman"/>
    </w:rPr>
  </w:style>
  <w:style w:type="table" w:styleId="13">
    <w:name w:val="Table Grid"/>
    <w:basedOn w:val="1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annotation reference"/>
    <w:basedOn w:val="14"/>
    <w:qFormat/>
    <w:uiPriority w:val="0"/>
    <w:rPr>
      <w:sz w:val="21"/>
      <w:szCs w:val="21"/>
    </w:rPr>
  </w:style>
  <w:style w:type="table" w:customStyle="1" w:styleId="1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7">
    <w:name w:val="List Paragraph"/>
    <w:basedOn w:val="1"/>
    <w:qFormat/>
    <w:uiPriority w:val="1"/>
    <w:pPr>
      <w:ind w:left="120" w:firstLine="560"/>
    </w:pPr>
  </w:style>
  <w:style w:type="paragraph" w:customStyle="1" w:styleId="18">
    <w:name w:val="Table Paragraph"/>
    <w:basedOn w:val="1"/>
    <w:qFormat/>
    <w:uiPriority w:val="1"/>
  </w:style>
  <w:style w:type="paragraph" w:customStyle="1" w:styleId="19">
    <w:name w:val="修订1"/>
    <w:hidden/>
    <w:unhideWhenUsed/>
    <w:qFormat/>
    <w:uiPriority w:val="99"/>
    <w:rPr>
      <w:rFonts w:ascii="宋体" w:hAnsi="宋体" w:eastAsia="宋体" w:cs="宋体"/>
      <w:sz w:val="22"/>
      <w:szCs w:val="22"/>
      <w:lang w:val="zh-TW" w:eastAsia="zh-TW" w:bidi="zh-TW"/>
    </w:rPr>
  </w:style>
  <w:style w:type="paragraph" w:customStyle="1" w:styleId="20">
    <w:name w:val="Revision"/>
    <w:hidden/>
    <w:unhideWhenUsed/>
    <w:qFormat/>
    <w:uiPriority w:val="99"/>
    <w:rPr>
      <w:rFonts w:ascii="宋体" w:hAnsi="宋体" w:eastAsia="宋体" w:cs="宋体"/>
      <w:sz w:val="22"/>
      <w:szCs w:val="22"/>
      <w:lang w:val="zh-TW" w:eastAsia="zh-TW" w:bidi="zh-TW"/>
    </w:rPr>
  </w:style>
  <w:style w:type="paragraph" w:customStyle="1" w:styleId="21">
    <w:name w:val="p1"/>
    <w:basedOn w:val="1"/>
    <w:qFormat/>
    <w:uiPriority w:val="0"/>
    <w:pPr>
      <w:widowControl/>
      <w:autoSpaceDE/>
      <w:autoSpaceDN/>
    </w:pPr>
    <w:rPr>
      <w:rFonts w:ascii="Helvetica" w:hAnsi="Helvetica"/>
      <w:color w:val="000000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3274</Words>
  <Characters>3454</Characters>
  <Lines>25</Lines>
  <Paragraphs>7</Paragraphs>
  <TotalTime>51</TotalTime>
  <ScaleCrop>false</ScaleCrop>
  <LinksUpToDate>false</LinksUpToDate>
  <CharactersWithSpaces>3493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2026-01-08T09:38:00Z</dcterms:created>
  <dc:creator>Windows 用户</dc:creator>
  <cp:lastModifiedBy>江  芳</cp:lastModifiedBy>
  <dcterms:modified xsi:type="dcterms:W3CDTF">2026-01-20T03:06:35Z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2023-11-01T00:00:00Z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2023-12-06T00:00:00Z</vt:filetime>
  </property>
  <property fmtid="{D5CDD505-2E9C-101B-9397-08002B2CF9AE}" pid="5" name="KSOProductBuildVer">
    <vt:lpwstr>2052-12.1.0.16120</vt:lpwstr>
  </property>
  <property fmtid="{D5CDD505-2E9C-101B-9397-08002B2CF9AE}" pid="6" name="ICV">
    <vt:lpwstr>5A8B3D5DBD324D5A931CCC3D55845A00_13</vt:lpwstr>
  </property>
  <property fmtid="{D5CDD505-2E9C-101B-9397-08002B2CF9AE}" pid="7" name="KSOTemplateDocerSaveRecord">
    <vt:lpwstr>eyJoZGlkIjoiODUxZDE2MDhjN2ZhYjBhN2JlMzk4MGY2YjVlMjc2YmUiLCJ1c2VySWQiOiIyMzY0NjgzMDYifQ==</vt:lpwstr>
  </property>
</Properties>
</file>