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39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怀化市宏宇小学总务处2025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义务教育薄弱环节改善与能力提升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项目支出绩效自评报告</w:t>
      </w:r>
    </w:p>
    <w:p w14:paraId="40EDF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</w:p>
    <w:p w14:paraId="01EFD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项目概况</w:t>
      </w:r>
    </w:p>
    <w:p w14:paraId="38D42A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（一）</w:t>
      </w:r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项目基本情况</w:t>
      </w:r>
    </w:p>
    <w:p w14:paraId="2ADDF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项目主管部门职能。</w:t>
      </w:r>
    </w:p>
    <w:p w14:paraId="7C0094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怀化市宏宇小学是一所公办的全日制小学,学制六年,属怀化市教育局直管。学校总务处作为本项目主管部门，全面负责义务教育薄弱环节改善与能力提升（课桌椅购置）项目的管理工作。其职能涵盖项目规划、供应商筛选、采购流程监督、质量把控以及项目验收等各个环节，确保项目顺利推进，满足学校教学需求。</w:t>
      </w:r>
    </w:p>
    <w:p w14:paraId="706794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项目立项、资金申报的依据。</w:t>
      </w:r>
    </w:p>
    <w:p w14:paraId="19167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随着学校规模扩大，原有课桌椅数量不足且部分损坏严重，影响正常教学秩序。为改善教学条件，提升学生学习环境，经学校领导班子研究决定立项。资金申报依据学校年度预算安排及实际需求，结合市场调研，确定购置1073套课桌椅，总资金31.98万元。</w:t>
      </w:r>
    </w:p>
    <w:p w14:paraId="36C16D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资金管理办法制定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及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支持概况。</w:t>
      </w:r>
    </w:p>
    <w:p w14:paraId="45EE95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对各项专项资金，学校都严格按照财务管理制度、专项资金管理办法以及本部门厉行节约制度执行，专项资金，做到了财政、教育、学校三方共同管理、监督，专款专用，无截留、卡扣、占用和挪用等情况，对项目资金开展定期督查，做到公正、透明，全体学校职工共同监督及社会监督。最大限度发挥资金效益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。</w:t>
      </w:r>
    </w:p>
    <w:p w14:paraId="38D6F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资金分配的原则及考虑因素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。</w:t>
      </w:r>
    </w:p>
    <w:p w14:paraId="1B4A4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资金分配遵循公平、合理、高效原则。充分考虑课桌椅的市场价格、质量标准、运输成本及安装费用等因素，确保资金合理使用，实现项目效益最大化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。</w:t>
      </w:r>
    </w:p>
    <w:p w14:paraId="210E05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0"/>
        <w:textAlignment w:val="auto"/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（二）</w:t>
      </w:r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项目绩效目标</w:t>
      </w:r>
    </w:p>
    <w:p w14:paraId="784A3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项目主要内容。</w:t>
      </w:r>
    </w:p>
    <w:p w14:paraId="1E565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购置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1073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套符合国家质量标准的课桌椅，用于学校各年级教室，改善学生学习条件</w:t>
      </w:r>
    </w:p>
    <w:p w14:paraId="19F573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项目具体绩效目标。</w:t>
      </w:r>
    </w:p>
    <w:p w14:paraId="33FD0B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数量目标：购置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1073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套课桌椅，完成率100%。</w:t>
      </w:r>
    </w:p>
    <w:p w14:paraId="08B766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质量目标：课桌椅质量符合国家相关标准，无质量问题。</w:t>
      </w:r>
    </w:p>
    <w:p w14:paraId="0EE4B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时效目标：202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年完成结算。</w:t>
      </w:r>
    </w:p>
    <w:p w14:paraId="0EAF1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成本目标：项目总资金控制在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31.98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万元以内。</w:t>
      </w:r>
    </w:p>
    <w:p w14:paraId="65C81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进度计划：202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年完成课桌椅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购置、验收、投入使用及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项目结算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。</w:t>
      </w:r>
    </w:p>
    <w:p w14:paraId="1B6305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申报内容与实际相符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及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目标合理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性分析。</w:t>
      </w:r>
    </w:p>
    <w:p w14:paraId="50C470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申报内容与学校实际需求相符，目标设定合理可行。通过市场调研和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政府采购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，确保了项目在资金和进度上的可行性，能够满足学校教学设施更新需求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。</w:t>
      </w:r>
    </w:p>
    <w:p w14:paraId="3433A0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（三）</w:t>
      </w:r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项目自评步骤及方法</w:t>
      </w:r>
    </w:p>
    <w:p w14:paraId="08206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绩效评价遵循科学公正、统筹兼顾、激励约束、公开透明的原则，通过成本指标、产出指标、效益指标、满意度指标四大指标综合进行绩效自评。全面学习政策，成立专项资金绩效评估工作领导小组，认真制定绩效自评工作方案，根据《财政专项资金绩效评价支出自评表》，逐项对照指标，进行自评打分，认真撰写专项资金绩效评价报告，同时收集相关佐证资料，确保自评工作真实客观、有据可依。</w:t>
      </w:r>
    </w:p>
    <w:p w14:paraId="523CB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项目资金申报及使用情况</w:t>
      </w:r>
    </w:p>
    <w:p w14:paraId="63B6A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0"/>
        <w:textAlignment w:val="auto"/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（一）</w:t>
      </w:r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项目资金申报及批复情况</w:t>
      </w:r>
    </w:p>
    <w:p w14:paraId="47F14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学校根据项目需求，编制了详细的资金申报方案，经学校领导班子审议通过后，向上级主管部门申报。上级主管部门对申报方案进行了审核，认为项目符合学校发展需求，资金预算合理，予以批复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。</w:t>
      </w:r>
    </w:p>
    <w:p w14:paraId="4DB9E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0"/>
        <w:textAlignment w:val="auto"/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（二）</w:t>
      </w:r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资金计划、到位及使用情况</w:t>
      </w:r>
    </w:p>
    <w:p w14:paraId="52638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0" w:firstLine="643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  <w:t>1.资金计划。</w:t>
      </w:r>
    </w:p>
    <w:p w14:paraId="40F1E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本项目资金计划为财政拨款专项资金，共计31.98万元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。</w:t>
      </w:r>
    </w:p>
    <w:p w14:paraId="775FB2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 Regular" w:hAnsi="Times New Roman Regular" w:eastAsia="仿宋_GB2312" w:cs="Times New Roman Regular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32"/>
          <w:szCs w:val="32"/>
          <w:highlight w:val="none"/>
          <w:lang w:val="en-US" w:eastAsia="zh-CN"/>
        </w:rPr>
        <w:t>资金到</w:t>
      </w:r>
      <w:r>
        <w:rPr>
          <w:rFonts w:hint="default" w:ascii="Times New Roman Regular" w:hAnsi="Times New Roman Regular" w:eastAsia="仿宋_GB2312" w:cs="Times New Roman Regular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  <w:t>位。</w:t>
      </w:r>
    </w:p>
    <w:p w14:paraId="42B52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2025年项目资金到位率100%，到位及时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。</w:t>
      </w:r>
    </w:p>
    <w:p w14:paraId="1B8E01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0" w:firstLine="643" w:firstLineChars="200"/>
        <w:textAlignment w:val="auto"/>
        <w:rPr>
          <w:rFonts w:hint="default" w:ascii="Times New Roman Regular" w:hAnsi="Times New Roman Regular" w:eastAsia="仿宋_GB2312" w:cs="Times New Roman Regular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b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32"/>
          <w:szCs w:val="32"/>
          <w:highlight w:val="none"/>
          <w:lang w:val="en-US" w:eastAsia="zh-CN"/>
        </w:rPr>
        <w:t>资金使用。</w:t>
      </w:r>
    </w:p>
    <w:p w14:paraId="02406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资金支出严格按照预算执行，用于课桌椅购置。资金支付范围、支付标准、支付进度、支付依据等均合规合法，与预算相符。</w:t>
      </w:r>
    </w:p>
    <w:p w14:paraId="364FA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0"/>
        <w:textAlignment w:val="auto"/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（三）</w:t>
      </w:r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项目财务管理情况</w:t>
      </w:r>
    </w:p>
    <w:p w14:paraId="2E461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项目实施单位财务管理制度健全，严格执行财务管理制度，账务处理及时。资金使用过程中，严格按照审批流程进行操作，确保了资金使用的安全性和规范性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。</w:t>
      </w:r>
    </w:p>
    <w:p w14:paraId="579C0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项目实施及管理情况</w:t>
      </w:r>
    </w:p>
    <w:p w14:paraId="1C450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0"/>
        <w:textAlignment w:val="auto"/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（一）</w:t>
      </w:r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项目组织架构及实施流程</w:t>
      </w:r>
    </w:p>
    <w:p w14:paraId="17741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项目在市财政局和教育局的监督下由行政领导统一安排，总务处负责各项具体工作的开展，实施流程包括项目立项、供应商招标、合同签订、运输安装、验收结算等环节，各环节紧密衔接，确保项目顺利推进。</w:t>
      </w:r>
    </w:p>
    <w:p w14:paraId="587B13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0"/>
        <w:textAlignment w:val="auto"/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（二）</w:t>
      </w:r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项目管理情况</w:t>
      </w:r>
    </w:p>
    <w:p w14:paraId="78B90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严格按照财政资金管理办法有关规定使用城区教育专项资金，按照政府采购程序进行，确保了供应商选择的公平、公正、公开；在项目实施过程中，加强对运输、安装等环节的监督，确保课桌椅质量符合标准；项目完成后，及时组织验收，确保项目达到预期目标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。</w:t>
      </w:r>
    </w:p>
    <w:p w14:paraId="79FD4B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0"/>
        <w:textAlignment w:val="auto"/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（三）</w:t>
      </w:r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项目监管情况</w:t>
      </w:r>
    </w:p>
    <w:p w14:paraId="311DF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通过定期检查、不定期抽查等方式加强对项目的管理。建立项目台账，对项目进度、质量、资金使用等情况进行实时跟踪。通过有效的监管手段，确保了项目按照计划顺利实施。</w:t>
      </w:r>
    </w:p>
    <w:p w14:paraId="07DA9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四、项目绩效情况</w:t>
      </w:r>
    </w:p>
    <w:p w14:paraId="2A6416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0"/>
        <w:textAlignment w:val="auto"/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（一）</w:t>
      </w:r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项目完成情况</w:t>
      </w:r>
    </w:p>
    <w:p w14:paraId="64E93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数量完成情况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：实际购置课桌椅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1073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套，完成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率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100%。</w:t>
      </w:r>
    </w:p>
    <w:p w14:paraId="108CE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质量完成情况：课桌椅质量符合国家相关标准，无质量问题。</w:t>
      </w:r>
    </w:p>
    <w:p w14:paraId="56D7A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时效完成情况：202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年完成结算，按时完成项目目标。</w:t>
      </w:r>
    </w:p>
    <w:p w14:paraId="5A2B0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成本完成情况：项目总资金控制在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31.98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万元以内，未超预算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。</w:t>
      </w:r>
    </w:p>
    <w:p w14:paraId="1D3D3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项目效益情况</w:t>
      </w:r>
    </w:p>
    <w:p w14:paraId="55C402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经济效益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：通过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政府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采购，降低了课桌椅购置成本，提高了资金使用效率。</w:t>
      </w:r>
    </w:p>
    <w:p w14:paraId="75632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社会效益：改善了学校教学条件，提升了学生学习环境，得到了师生和家长的一致好评。</w:t>
      </w:r>
    </w:p>
    <w:p w14:paraId="3946F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生态效益：购置的课桌椅符合国家环保标准。</w:t>
      </w:r>
    </w:p>
    <w:p w14:paraId="374495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可持续效益：课桌椅质量可靠，使用年限长，能够满足学校长期教学需求，具有良好的可持续效益。</w:t>
      </w:r>
    </w:p>
    <w:p w14:paraId="6AB7A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服务对象满意度：师生对课桌椅满意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度高。</w:t>
      </w:r>
    </w:p>
    <w:p w14:paraId="0EC68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评价结论及建议</w:t>
      </w:r>
    </w:p>
    <w:bookmarkEnd w:id="0"/>
    <w:p w14:paraId="273762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0"/>
        <w:textAlignment w:val="auto"/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（一）</w:t>
      </w:r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评价结论</w:t>
      </w:r>
    </w:p>
    <w:p w14:paraId="05F1E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2025年度义务教育薄弱环节改善与能力提升（课桌椅购置）专项资金项目实施情况总体良好，立项规范，绩效目标合理、指标明确，资金全部及时到位，对完善校园教学环境起到了积极的作用。</w:t>
      </w:r>
    </w:p>
    <w:p w14:paraId="3843F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0"/>
        <w:textAlignment w:val="auto"/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（二）</w:t>
      </w:r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存在的问题</w:t>
      </w:r>
    </w:p>
    <w:p w14:paraId="53691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0"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项目验收环节的标准化程度有待提高，验收指标不够细化。</w:t>
      </w:r>
    </w:p>
    <w:p w14:paraId="6E5EDD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0"/>
        <w:textAlignment w:val="auto"/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（三）</w:t>
      </w:r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28"/>
          <w:szCs w:val="28"/>
          <w:highlight w:val="none"/>
          <w:lang w:val="en-US" w:eastAsia="zh-CN"/>
        </w:rPr>
        <w:t>相关建议</w:t>
      </w:r>
    </w:p>
    <w:p w14:paraId="5C2AFE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制定详细的项目验收标准，明确验收指标和方法，提高验收工作的科学性和规范性，不断改进工作方法，提高项目管理水平，为学校教学设施的更新和完善提供有力保障。</w:t>
      </w:r>
    </w:p>
    <w:p w14:paraId="0FC318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84309"/>
    <w:rsid w:val="06252E2F"/>
    <w:rsid w:val="17F84309"/>
    <w:rsid w:val="18155A97"/>
    <w:rsid w:val="273566E0"/>
    <w:rsid w:val="2DCE1EBA"/>
    <w:rsid w:val="31701A99"/>
    <w:rsid w:val="340C2973"/>
    <w:rsid w:val="34B8581C"/>
    <w:rsid w:val="3DAE7C70"/>
    <w:rsid w:val="3F935129"/>
    <w:rsid w:val="4355510B"/>
    <w:rsid w:val="43A63197"/>
    <w:rsid w:val="480C0D42"/>
    <w:rsid w:val="484A6F23"/>
    <w:rsid w:val="4D330192"/>
    <w:rsid w:val="53D71491"/>
    <w:rsid w:val="53DA3B21"/>
    <w:rsid w:val="5FE13A7D"/>
    <w:rsid w:val="60B55EFE"/>
    <w:rsid w:val="75A7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2026-06-12T06:48:00Z</dcterms:created>
  <dc:creator>Lenovo</dc:creator>
  <cp:lastModifiedBy>Lenovo</cp:lastModifiedBy>
  <dcterms:modified xsi:type="dcterms:W3CDTF">2026-06-12T07:16:52Z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757DA358F46E433F87284F31CD480F26_11</vt:lpwstr>
  </property>
  <property fmtid="{D5CDD505-2E9C-101B-9397-08002B2CF9AE}" pid="4" name="KSOTemplateDocerSaveRecord">
    <vt:lpwstr>eyJoZGlkIjoiZjI4MGY3NWU5ZmMyOWUwZmJhNTNiNTc1NDcyMDI1YTAifQ==</vt:lpwstr>
  </property>
</Properties>
</file>