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569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eastAsia" w:ascii="方正黑体_GBK" w:hAnsi="方正黑体_GBK" w:eastAsia="方正黑体_GBK" w:cs="方正黑体_GBK"/>
          <w:b/>
          <w:bCs/>
          <w:color w:val="auto"/>
          <w:sz w:val="32"/>
          <w:szCs w:val="32"/>
          <w:highlight w:val="none"/>
          <w:lang w:val="en-US" w:eastAsia="zh-CN"/>
        </w:rPr>
      </w:pPr>
    </w:p>
    <w:p w14:paraId="12B57E6C">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黑体_GBK" w:hAnsi="方正黑体_GBK" w:eastAsia="方正黑体_GBK" w:cs="方正黑体_GBK"/>
          <w:b/>
          <w:bCs/>
          <w:color w:val="auto"/>
          <w:sz w:val="48"/>
          <w:szCs w:val="48"/>
          <w:highlight w:val="none"/>
          <w:lang w:val="en-US" w:eastAsia="zh-CN"/>
        </w:rPr>
      </w:pPr>
      <w:r>
        <w:rPr>
          <w:rFonts w:hint="eastAsia" w:ascii="方正黑体_GBK" w:hAnsi="方正黑体_GBK" w:eastAsia="方正黑体_GBK" w:cs="方正黑体_GBK"/>
          <w:b/>
          <w:bCs/>
          <w:color w:val="auto"/>
          <w:sz w:val="48"/>
          <w:szCs w:val="48"/>
          <w:highlight w:val="none"/>
          <w:lang w:val="en-US" w:eastAsia="zh-CN"/>
        </w:rPr>
        <w:t>2025年度怀化市幼儿园</w:t>
      </w:r>
    </w:p>
    <w:p w14:paraId="45CD449D">
      <w:pPr>
        <w:keepNext w:val="0"/>
        <w:keepLines w:val="0"/>
        <w:pageBreakBefore w:val="0"/>
        <w:widowControl w:val="0"/>
        <w:kinsoku/>
        <w:wordWrap/>
        <w:overflowPunct/>
        <w:topLinePunct w:val="0"/>
        <w:autoSpaceDE/>
        <w:autoSpaceDN/>
        <w:bidi w:val="0"/>
        <w:adjustRightInd/>
        <w:snapToGrid w:val="0"/>
        <w:spacing w:line="520" w:lineRule="exact"/>
        <w:ind w:firstLine="960" w:firstLineChars="200"/>
        <w:jc w:val="center"/>
        <w:textAlignment w:val="auto"/>
        <w:rPr>
          <w:rFonts w:hint="eastAsia" w:ascii="方正黑体_GBK" w:hAnsi="方正黑体_GBK" w:eastAsia="方正黑体_GBK" w:cs="方正黑体_GBK"/>
          <w:b/>
          <w:bCs/>
          <w:color w:val="auto"/>
          <w:sz w:val="48"/>
          <w:szCs w:val="48"/>
          <w:highlight w:val="none"/>
          <w:lang w:val="en-US" w:eastAsia="zh-CN"/>
        </w:rPr>
      </w:pPr>
    </w:p>
    <w:p w14:paraId="78CC30C3">
      <w:pPr>
        <w:keepNext w:val="0"/>
        <w:keepLines w:val="0"/>
        <w:pageBreakBefore w:val="0"/>
        <w:widowControl w:val="0"/>
        <w:kinsoku/>
        <w:wordWrap/>
        <w:overflowPunct/>
        <w:topLinePunct w:val="0"/>
        <w:autoSpaceDE/>
        <w:autoSpaceDN/>
        <w:bidi w:val="0"/>
        <w:adjustRightInd/>
        <w:snapToGrid w:val="0"/>
        <w:spacing w:line="520" w:lineRule="exact"/>
        <w:ind w:firstLine="960" w:firstLineChars="200"/>
        <w:jc w:val="center"/>
        <w:textAlignment w:val="auto"/>
        <w:rPr>
          <w:rFonts w:hint="eastAsia" w:ascii="方正黑体_GBK" w:hAnsi="方正黑体_GBK" w:eastAsia="方正黑体_GBK" w:cs="方正黑体_GBK"/>
          <w:b/>
          <w:bCs/>
          <w:color w:val="auto"/>
          <w:sz w:val="48"/>
          <w:szCs w:val="48"/>
          <w:highlight w:val="none"/>
          <w:lang w:val="en-US" w:eastAsia="zh-CN"/>
        </w:rPr>
      </w:pPr>
    </w:p>
    <w:p w14:paraId="4DEFF199">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黑体_GBK" w:hAnsi="方正黑体_GBK" w:eastAsia="方正黑体_GBK" w:cs="方正黑体_GBK"/>
          <w:b/>
          <w:bCs/>
          <w:color w:val="auto"/>
          <w:sz w:val="48"/>
          <w:szCs w:val="48"/>
          <w:highlight w:val="none"/>
          <w:lang w:val="en-US" w:eastAsia="zh-CN"/>
        </w:rPr>
      </w:pPr>
      <w:r>
        <w:rPr>
          <w:rFonts w:hint="eastAsia" w:ascii="方正黑体_GBK" w:hAnsi="方正黑体_GBK" w:eastAsia="方正黑体_GBK" w:cs="方正黑体_GBK"/>
          <w:b/>
          <w:bCs/>
          <w:color w:val="auto"/>
          <w:sz w:val="48"/>
          <w:szCs w:val="48"/>
          <w:highlight w:val="none"/>
          <w:lang w:val="en-US" w:eastAsia="zh-CN"/>
        </w:rPr>
        <w:t>项目支出绩效自评</w:t>
      </w:r>
    </w:p>
    <w:p w14:paraId="10BE6D35">
      <w:pPr>
        <w:keepNext w:val="0"/>
        <w:keepLines w:val="0"/>
        <w:pageBreakBefore w:val="0"/>
        <w:widowControl w:val="0"/>
        <w:kinsoku/>
        <w:wordWrap/>
        <w:overflowPunct/>
        <w:topLinePunct w:val="0"/>
        <w:autoSpaceDE/>
        <w:autoSpaceDN/>
        <w:bidi w:val="0"/>
        <w:adjustRightInd/>
        <w:snapToGrid w:val="0"/>
        <w:spacing w:line="520" w:lineRule="exact"/>
        <w:ind w:firstLine="880" w:firstLineChars="200"/>
        <w:jc w:val="left"/>
        <w:textAlignment w:val="auto"/>
        <w:rPr>
          <w:rFonts w:hint="eastAsia" w:ascii="方正黑体_GBK" w:hAnsi="方正黑体_GBK" w:eastAsia="方正黑体_GBK" w:cs="方正黑体_GBK"/>
          <w:b/>
          <w:bCs/>
          <w:color w:val="auto"/>
          <w:sz w:val="44"/>
          <w:szCs w:val="44"/>
          <w:highlight w:val="none"/>
          <w:lang w:val="en-US" w:eastAsia="zh-CN"/>
        </w:rPr>
      </w:pPr>
    </w:p>
    <w:p w14:paraId="245969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p>
    <w:p w14:paraId="211F0E7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72D6F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B5744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730A45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B54C6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0F716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7A81A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A9C83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652AA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6DD6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4268B1D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559E1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425697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E141D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264C4B2">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单位名称（盖章）：怀化市幼儿园</w:t>
      </w:r>
    </w:p>
    <w:p w14:paraId="19EE3B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center"/>
        <w:textAlignment w:val="auto"/>
        <w:rPr>
          <w:rFonts w:hint="default" w:ascii="方正黑体_GBK" w:hAnsi="方正黑体_GBK" w:eastAsia="方正黑体_GBK" w:cs="方正黑体_GBK"/>
          <w:b/>
          <w:bCs/>
          <w:color w:val="auto"/>
          <w:sz w:val="32"/>
          <w:szCs w:val="32"/>
          <w:highlight w:val="none"/>
          <w:lang w:val="en-US" w:eastAsia="zh-CN"/>
        </w:rPr>
      </w:pPr>
    </w:p>
    <w:p w14:paraId="0BD3A8C6">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319771B9">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sectPr>
          <w:pgSz w:w="11906" w:h="16838"/>
          <w:pgMar w:top="1440" w:right="1800" w:bottom="1440" w:left="1800" w:header="851" w:footer="992" w:gutter="0"/>
          <w:cols w:space="425" w:num="1"/>
          <w:docGrid w:type="lines" w:linePitch="312" w:charSpace="0"/>
        </w:sectPr>
      </w:pPr>
    </w:p>
    <w:p w14:paraId="3953ADF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Times New Roman" w:hAnsi="Times New Roman" w:eastAsia="仿宋_GB2312" w:cs="Times New Roman"/>
          <w:snapToGrid/>
          <w:color w:val="000000"/>
          <w:kern w:val="0"/>
          <w:sz w:val="24"/>
          <w:szCs w:val="24"/>
          <w:lang w:val="en-US" w:eastAsia="zh-CN" w:bidi="ar-SA"/>
        </w:rPr>
        <w:t>4</w:t>
      </w:r>
    </w:p>
    <w:p w14:paraId="09A926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default"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怀化市幼儿园</w:t>
      </w:r>
    </w:p>
    <w:p w14:paraId="16A398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简体" w:hAnsi="Arial" w:eastAsia="方正小标宋简体" w:cs="Arial"/>
          <w:sz w:val="40"/>
          <w:szCs w:val="40"/>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项目支出自评结果汇总分析报告</w:t>
      </w:r>
    </w:p>
    <w:p w14:paraId="18024718">
      <w:pPr>
        <w:jc w:val="center"/>
        <w:rPr>
          <w:rFonts w:ascii="仿宋_GB2312"/>
          <w:sz w:val="32"/>
          <w:szCs w:val="32"/>
        </w:rPr>
      </w:pPr>
    </w:p>
    <w:p w14:paraId="5A0365E4">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项目支出基本情况</w:t>
      </w:r>
    </w:p>
    <w:p w14:paraId="70E87D3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（一）项目总体预算和执行情况</w:t>
      </w:r>
    </w:p>
    <w:p w14:paraId="1F914AE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2025年怀化市幼儿园项目共10个，其中年初预算项目3个，年中追加预算项目7个。</w:t>
      </w:r>
    </w:p>
    <w:p w14:paraId="3F7830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怀化市幼儿园项目支出总体预算为475.98万元，主要包括提前下达2025年市县中小学幼儿园教师“国培计划”中央专项资金6万元，2025年学前教育生均公用经费市级资金45万元，教育管理支出288.70万元、2025年免保育教育费补助中央资金18.64万元、2025年学前教育免保育教育费补助省级提标资金（市县）10.77万元、2025年教育发展项目资金37.38万元、2025年免保育教育费补助省级资金（市县）8.29万元、结转市幼儿园2022、2023年专项资金38.27万元，校方责任险1.2万元，保安经费21.73万元。</w:t>
      </w:r>
    </w:p>
    <w:p w14:paraId="31C2E29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color w:val="auto"/>
          <w:sz w:val="32"/>
          <w:szCs w:val="32"/>
          <w:highlight w:val="yellow"/>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（二）项目主要内容</w:t>
      </w:r>
    </w:p>
    <w:p w14:paraId="17FFE8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提前下达2025年市县中小学幼儿园教师“国培计划”中央专项资金：主要用于怀化市优质校（园）送培县级薄弱校（园）全学科教师能力提升培训项目，搭建优质园与薄弱园之间的合作桥梁，实现教育资源的有效输送与共享共生。      </w:t>
      </w:r>
    </w:p>
    <w:p w14:paraId="4529E90E">
      <w:pPr>
        <w:keepNext w:val="0"/>
        <w:keepLines w:val="0"/>
        <w:pageBreakBefore w:val="0"/>
        <w:widowControl w:val="0"/>
        <w:kinsoku/>
        <w:wordWrap/>
        <w:overflowPunct/>
        <w:topLinePunct w:val="0"/>
        <w:autoSpaceDE/>
        <w:autoSpaceDN/>
        <w:bidi w:val="0"/>
        <w:adjustRightInd/>
        <w:snapToGrid w:val="0"/>
        <w:spacing w:line="520" w:lineRule="exact"/>
        <w:ind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2025年学前教育生均公用经费市级资金：主要用于保障我园保育教育活动及行政管理、后勤服务所开展的日常支出。</w:t>
      </w:r>
    </w:p>
    <w:p w14:paraId="3A4B47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教育管理支出：主要用于维护教学正常运行，带动其他各项工作的开展，提高教师人数及教学质量，强化教学管理，稳定教学秩序。</w:t>
      </w:r>
    </w:p>
    <w:p w14:paraId="2F87A4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2025年免保育教育费补助中央资金、2025年学前教育免保育教育费补助省级提标资金（市县）、2025年免保育教育费补助省级资金（市县）：主要用于全园大班幼儿保育费抵扣；进一步减轻幼儿家庭育儿负担。　</w:t>
      </w:r>
    </w:p>
    <w:p w14:paraId="7D6AA6C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2025年教育发展项目资金：主要用于改善园所保教及生活条件，持续提升幼儿园保教质量。　</w:t>
      </w:r>
    </w:p>
    <w:p w14:paraId="23CB53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结转市幼儿园2022、2023年专项资金：主要用于启雅楼装修装饰改造工程。</w:t>
      </w:r>
    </w:p>
    <w:p w14:paraId="2DF1397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校方责任险：主要用于缓解教育机构法律责任压力，积极预防、妥善处理学生事故，保障学生和学校的合法权益，维护正常的教育教学秩序。</w:t>
      </w:r>
    </w:p>
    <w:p w14:paraId="455CFF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yellow"/>
          <w:lang w:val="en-US" w:eastAsia="zh-CN"/>
        </w:rPr>
      </w:pPr>
      <w:r>
        <w:rPr>
          <w:rFonts w:hint="eastAsia" w:ascii="Times New Roman Regular" w:hAnsi="Times New Roman Regular" w:eastAsia="仿宋_GB2312" w:cs="Times New Roman Regular"/>
          <w:color w:val="auto"/>
          <w:sz w:val="32"/>
          <w:szCs w:val="32"/>
          <w:highlight w:val="none"/>
          <w:lang w:val="en-US" w:eastAsia="zh-CN"/>
        </w:rPr>
        <w:t>保安经费：主要用于保障学校区域全师生的人身安全，正常工作秩序、治安秩序、防患于未然。</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42E043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（一）项目单位自评工作覆盖情况</w:t>
      </w:r>
    </w:p>
    <w:p w14:paraId="05B681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本次项目支出绩效自评的对象和范围为本单位2025年度年初预算及追加项目10个，涉及财政资金475.98万元，自评覆盖率为100%。</w:t>
      </w:r>
    </w:p>
    <w:p w14:paraId="7917D10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（二）组织开展程序</w:t>
      </w:r>
    </w:p>
    <w:p w14:paraId="58349F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怀财绩〔2026〕36号文件要求，本单位绩效评价管理工作小组认真负责组织开展本单位承担的项目绩效评价工作。一是制定了详细的工作方案，明确了责任，确定评价指标。二是按照绩效自评工作要求，业务部室及时提供项目资金支出、绩效实现情况的资料。三是各项目业务部填写《项目支出绩效自评表》，对预算执行率、年度总体绩效目标完成情况、各项绩效指标完成情况等逐一分析客观评分。四是财务通过对收集的资料进行综合分析，复核自评内容是否准确，客观评价后形成项目支出自评结果汇总分析报告。</w:t>
      </w:r>
    </w:p>
    <w:p w14:paraId="21B652A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（三）责任单位</w:t>
      </w:r>
    </w:p>
    <w:p w14:paraId="39318C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项目支出责任单位为怀化市幼儿园。</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6519B28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（一）项目支出单位自评分数情况及分析</w:t>
      </w:r>
    </w:p>
    <w:p w14:paraId="344362A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本次项目支出自评结果为：教育管理支出95.55分、校方责任险100分、保安经费100分、结转市幼儿园2022、2023年专项资金（启雅楼装修装饰改造工程）100分、2025年学前教育生均公用经费市级资金100分、2025年免保育教育费补助中央资金100分、2025年学前教育免保育教育费补助省级提标资金（市县）100分、2025年免保育教育费补助省级资金（市县）100分、2025年教育发展项目资金100分、提前下达2025年市县中小学幼儿园教师“国培计划”中央专项资金100分。项目自评平均分99.56分。</w:t>
      </w:r>
    </w:p>
    <w:p w14:paraId="16058EE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（二）预算执行情况分析</w:t>
      </w:r>
    </w:p>
    <w:p w14:paraId="497D9E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本单位2025年度项目支出中的10个项目全年预算数为707.28万元。截至2025年12月31日，10个项目全年执行数为475.98万元，总预算执行率为67.30%，各项目具体支出情况如下：</w:t>
      </w:r>
    </w:p>
    <w:p w14:paraId="6845CB8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1、教育管理支出：全年预算数520万元，全年执行数288.70万元，预算执行率55.52%。</w:t>
      </w:r>
    </w:p>
    <w:p w14:paraId="5180C1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2、校方责任险：全年预算数1.2万元，全年执行数1.2万元，预算执行率100%。</w:t>
      </w:r>
    </w:p>
    <w:p w14:paraId="49AB0C4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3、保安经费：全年预算数21.73万元，全年执行数21.73万元，预算执行率100%。</w:t>
      </w:r>
    </w:p>
    <w:p w14:paraId="5EC0841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4、结转市幼儿园2022、2023年专项资金（启雅楼装修装饰改造工程）：全年预算数38.27万元，全年执行数38.27万元，预算执行率100%。</w:t>
      </w:r>
    </w:p>
    <w:p w14:paraId="493CC0A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5、2025年学前教育生均公用经费市级资金：全年预算数45万元，全年执行数45万元，预算执行率100%。</w:t>
      </w:r>
    </w:p>
    <w:p w14:paraId="79A8876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6、2025年免保育教育费补助中央资金：全年预算数18.64万元，全年执行数18.64万元，预算执行率100%。</w:t>
      </w:r>
    </w:p>
    <w:p w14:paraId="7FDBF4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7、2025年学前教育免保育教育费补助省级提标资金（市县）：全年预算数10.77万元，全年执行数10.77万元，预算执行率100%。</w:t>
      </w:r>
    </w:p>
    <w:p w14:paraId="0B24D7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8、2025年免保育教育费补助省级资金（市县）：全年预算数8.29万元，全年执行数8.29万元，预算执行率100%。</w:t>
      </w:r>
    </w:p>
    <w:p w14:paraId="3A37A4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9、2025年教育发展项目资金：全年预算数37.38万元，全年执行数37.38万元，预算执行率100%。</w:t>
      </w:r>
    </w:p>
    <w:p w14:paraId="2E0AAF5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10、提前下达2025年市县中小学幼儿园教师“国培计划”中央专项资金：全年预算数6万元，全年执行数6万元，预算执行率100%。</w:t>
      </w:r>
    </w:p>
    <w:p w14:paraId="2C502E4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（三）资金管理情况分析</w:t>
      </w:r>
    </w:p>
    <w:p w14:paraId="31E902A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本年度项目资金使用符合国家财经法规和财务管理制度的规定，资金的拨付有完整的审批程序和手续，符合预算支出预算批复或合同规定的用途，不存在截留、挤占、挪用、虚列支出等情况。</w:t>
      </w:r>
    </w:p>
    <w:p w14:paraId="5356D95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（四）总体绩效目标完成情况分析</w:t>
      </w:r>
    </w:p>
    <w:p w14:paraId="5171FA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2025年总体绩效目标完成情况如下：</w:t>
      </w:r>
    </w:p>
    <w:p w14:paraId="34C1473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1、维护教学正常运行，带动其他各项工作的开展，提高教师人数及教学质量，强化教学管理，稳定教学秩序；</w:t>
      </w:r>
    </w:p>
    <w:p w14:paraId="79D571F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2、改善师生们的生活和学习条件，提升学校形象和学校品质，增强师生们的幸福感；</w:t>
      </w:r>
    </w:p>
    <w:p w14:paraId="094B7B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3、实施德、智、体、美全面发展的教育，促进学前儿童身心的和谐发展；</w:t>
      </w:r>
    </w:p>
    <w:p w14:paraId="6B656D7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4、提升教师教育教学实践能力，推进均衡发展、促进基础教育改革，提高教育质量；</w:t>
      </w:r>
    </w:p>
    <w:p w14:paraId="0D1F81B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5、缓解教育机构法律责任压力，积极预防、妥善处理学生事故，保障学生和学校的合法权益，维护正常的教育教学秩序。</w:t>
      </w:r>
    </w:p>
    <w:p w14:paraId="7E15B914">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（五）绩效指标完成情况分析</w:t>
      </w:r>
    </w:p>
    <w:p w14:paraId="6F99EDB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从成本指标、产出指标、效益指标和满意度指标分析情况如下：</w:t>
      </w:r>
    </w:p>
    <w:p w14:paraId="21AA6C8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1、成本指标</w:t>
      </w:r>
    </w:p>
    <w:p w14:paraId="11C1CD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投入资金为475.98万元，达到年度目标。</w:t>
      </w:r>
    </w:p>
    <w:p w14:paraId="221E060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2、产出指标</w:t>
      </w:r>
    </w:p>
    <w:p w14:paraId="2DA915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（1）数量指标：</w:t>
      </w:r>
      <w:r>
        <w:rPr>
          <w:rFonts w:hint="default" w:ascii="Times New Roman Regular" w:hAnsi="Times New Roman Regular" w:eastAsia="仿宋_GB2312" w:cs="Times New Roman Regular"/>
          <w:color w:val="auto"/>
          <w:sz w:val="32"/>
          <w:szCs w:val="32"/>
          <w:highlight w:val="none"/>
          <w:lang w:val="en-US" w:eastAsia="zh-CN"/>
        </w:rPr>
        <w:t>系统整合“家长护学岗”“爸妈故事团”等传统品牌项目，全年联合开展活动100余场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严格执行“三重一大”集体决策制度，全年召开党总支委会28次</w:t>
      </w:r>
      <w:r>
        <w:rPr>
          <w:rFonts w:hint="eastAsia" w:ascii="Times New Roman Regular" w:hAnsi="Times New Roman Regular" w:eastAsia="仿宋_GB2312" w:cs="Times New Roman Regular"/>
          <w:color w:val="auto"/>
          <w:sz w:val="32"/>
          <w:szCs w:val="32"/>
          <w:highlight w:val="none"/>
          <w:lang w:val="en-US" w:eastAsia="zh-CN"/>
        </w:rPr>
        <w:t>，达到年度目标。</w:t>
      </w:r>
    </w:p>
    <w:p w14:paraId="4FE3890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（2）质量指标：保障经费执行率100%。</w:t>
      </w:r>
    </w:p>
    <w:p w14:paraId="143719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（3）时效指标：都在2025年12月31日之前完成。</w:t>
      </w:r>
    </w:p>
    <w:p w14:paraId="3C154E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3、效益指标</w:t>
      </w:r>
    </w:p>
    <w:p w14:paraId="6A2FF37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（1）社会效益指标：不断提升教师教学水平；提高园内人员幸福指数；维护园内秩序稳定；不断提高安全责任意识，达到年度目标。</w:t>
      </w:r>
    </w:p>
    <w:p w14:paraId="4790355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（2）可持续影响指标：促进教育可持续发展、推进日常工作运行、保障园内安全。达到年度目标。</w:t>
      </w:r>
    </w:p>
    <w:p w14:paraId="0F7819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4、满意度指标：使用人群满意度90%以上；群众满意度90%以上；全体师生满意度90%以上。达到年度目标。</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7783B15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学前教育保教工作存在突发性、临时性业务需求，部分工作不可预见性，有些支出无法完全按照预算使用，导致预算执行存在偏差。</w:t>
      </w:r>
    </w:p>
    <w:p w14:paraId="740783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精准细化预算编制。编制预算时全面梳理全年保教工作，结合往年支出数据充分预判临时性支出；出现偏差及时统筹调剂。</w:t>
      </w:r>
    </w:p>
    <w:p w14:paraId="69C528F4">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项目自评工作建议及预算安排建议</w:t>
      </w:r>
    </w:p>
    <w:p w14:paraId="3C6D97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压实组织领导，统筹推进项目落地：项目任务下达后，单位主要领导牵头统筹，成立专项工作小组，分层细化任务分工，明确各科室岗位职责，做到专人专管、责任到人，全程跟踪项目实施进度，保障各项工作部署落地见效。</w:t>
      </w:r>
    </w:p>
    <w:p w14:paraId="6CE1D0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2、规范项目全流程管理，严守采购制度：严格落实项目申报、立项、实施全流程审批程序，夯实项目实施合规基础；物资及服务采购严格执行政府采购相关规定，做到采购流程公开规范。</w:t>
      </w:r>
    </w:p>
    <w:p w14:paraId="1B163F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强化专项资金管控，保障专款专用：严格执行专项资金专户管理、专项核算模式，资金单独核算、专款专用，建立资金使用台账，常态化核查支出流向，坚决杜绝挤占、挪用、串用项目资金等违规行为，守住资金使用底线。</w:t>
      </w:r>
    </w:p>
    <w:p w14:paraId="64F886A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4、规范财务会计核算，落实国库管理要求：严格遵循财政统一财务制度，所有项目资金统一执行国库集中支付管理，规范凭证归集、账务处理流程，做到账目清晰、凭证完整，实现资金支出全程可追溯。</w:t>
      </w:r>
    </w:p>
    <w:p w14:paraId="620424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优化预算统筹编制，提升资金使用效益：下年度编制预算时结合办学实际、历年支出数据科学测算，充分预判保教临时、突发性支出，细化预算科目；建立月度预算执行分析机制，及时统筹调剂资金，减少预算执行偏差，提升财政资金使用效率。</w:t>
      </w:r>
    </w:p>
    <w:p w14:paraId="6FAE1F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6、健全绩效长效管理机制：常态化开展绩效管理业务培训，强化事前目标设定、事中动态监控、事后自评复盘闭环管理。</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76A568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7CDA04D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A21D33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848064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5FC48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A95317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09B78C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C48A5C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F054B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B455A1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63082A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65AB85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0D0741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7A8A93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46ED1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51BC95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24"/>
          <w:szCs w:val="24"/>
          <w:shd w:val="clear" w:fill="FFFFFF"/>
          <w:lang w:val="en-US" w:eastAsia="zh-CN" w:bidi="ar"/>
        </w:rPr>
        <w:t>附件</w:t>
      </w: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t>6</w:t>
      </w:r>
    </w:p>
    <w:p w14:paraId="781791A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6CC7968">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怀化市幼儿园2025</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教育管理项目支出</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绩效自评报告</w:t>
      </w:r>
    </w:p>
    <w:p w14:paraId="01EFDAD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38D42AD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项目基本情况</w:t>
      </w:r>
    </w:p>
    <w:p w14:paraId="2ADDF44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说明项目主管部门在该项目管理中的职能。</w:t>
      </w:r>
    </w:p>
    <w:p w14:paraId="33B59E8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lang w:val="en-US" w:eastAsia="zh-CN" w:bidi="ar-SA"/>
        </w:rPr>
        <w:t>职能：全面贯彻落实国家学前教育方针政策，坚持保教融合核心工作原则，立足幼儿成长发展规律开展德、智、体、美、劳全方位启蒙教育，守护幼儿身心健康成长；同步面向全园家长开展科学育儿科普、家庭教育指导服务，统筹推进园所教学管理、师资建设、校园安全、特色办学等各项教育管理工作。</w:t>
      </w:r>
    </w:p>
    <w:p w14:paraId="706794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项目立项、资金申报的依据。</w:t>
      </w:r>
    </w:p>
    <w:p w14:paraId="56B5F52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项目申报依据《学前教育法》、财教〔2025〕180号等国家政策，参照资金管理规定办法，结合怀化市学前教育提升方案、市级专项资金及绩效管理制度立项。项目用于维护教学正常运行，带动其他各项工作的开展，提高教师人数及教学质量，强化教学管理，稳定教学秩序，符合项目入库、资金申报各项合规要求。</w:t>
      </w:r>
    </w:p>
    <w:p w14:paraId="36C16D7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资金管理办法制定情况,资金支持具体项目的条件、范围与支持方式概况。</w:t>
      </w:r>
    </w:p>
    <w:p w14:paraId="611EB9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严格遵循中央、省、市学前教育专项资金管理相关法律法规与财政财务规章制度，结合本园办学实际，细化完善单位内部财务内控、专项资金管理配套制度，形成覆盖资金申报、拨付、使用、核算、绩效监管全流程的内部管理细则，所有资金管理流程均对标上级财政监管要求落地执行。</w:t>
      </w:r>
    </w:p>
    <w:p w14:paraId="3E2C849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各类专项资金实行专户管理、专项核算、专款专用管理模式，资金统一通过怀化市财政局国库集中支付渠道拨付，财务支出审核、凭证处理、会计账务核算做到真实完整、及时规范。</w:t>
      </w:r>
    </w:p>
    <w:p w14:paraId="0976F20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资金支持范围、准入条件清晰划分：教师</w:t>
      </w:r>
      <w:r>
        <w:rPr>
          <w:rFonts w:hint="eastAsia" w:ascii="Times New Roman Regular" w:hAnsi="Times New Roman Regular" w:eastAsia="仿宋_GB2312" w:cs="Times New Roman Regular"/>
          <w:color w:val="auto"/>
          <w:sz w:val="32"/>
          <w:szCs w:val="32"/>
          <w:highlight w:val="none"/>
          <w:lang w:val="en-US" w:eastAsia="zh-CN"/>
        </w:rPr>
        <w:t>国培计划</w:t>
      </w:r>
      <w:r>
        <w:rPr>
          <w:rFonts w:hint="default" w:ascii="Times New Roman Regular" w:hAnsi="Times New Roman Regular" w:eastAsia="仿宋_GB2312" w:cs="Times New Roman Regular"/>
          <w:color w:val="auto"/>
          <w:sz w:val="32"/>
          <w:szCs w:val="32"/>
          <w:highlight w:val="none"/>
          <w:lang w:val="en-US" w:eastAsia="zh-CN"/>
        </w:rPr>
        <w:t>专项资金仅限用于教职工师德培训、结对帮扶教研、教学技能提升相关支出；市级学前教育生均公用经费保障日常保教耗材、教学活动、后勤运维、家园共育等基础办学开支。资金全部采取财政直接拨付、据实报销的支持方式，严格限定支出边界，严禁超范围、超标准列支。</w:t>
      </w:r>
    </w:p>
    <w:p w14:paraId="38D6F27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资金分配的原则及考虑因素</w:t>
      </w:r>
      <w:r>
        <w:rPr>
          <w:rFonts w:hint="eastAsia" w:ascii="Times New Roman Regular" w:hAnsi="Times New Roman Regular" w:eastAsia="仿宋_GB2312" w:cs="Times New Roman Regular"/>
          <w:color w:val="auto"/>
          <w:sz w:val="32"/>
          <w:szCs w:val="32"/>
          <w:highlight w:val="none"/>
          <w:lang w:val="en-US" w:eastAsia="zh-CN"/>
        </w:rPr>
        <w:t>。</w:t>
      </w:r>
    </w:p>
    <w:p w14:paraId="1AEBAD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本项目资金分配严格遵循量入为出、保障刚需、突出重点、注重绩效、专款专用五大核心原则。</w:t>
      </w:r>
    </w:p>
    <w:p w14:paraId="210E051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项目绩效目标</w:t>
      </w:r>
    </w:p>
    <w:p w14:paraId="784A351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692B712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教育管理支出，主要用于维护教学正常运行，带动其他各项工作的开展，提高教师人数及教学质量，强化教学管理，稳定教学秩序。</w:t>
      </w:r>
    </w:p>
    <w:p w14:paraId="19F573D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项目应实现的具体绩效目标,包括目标的量化、细化情况以及项目实施进度计划等。</w:t>
      </w:r>
    </w:p>
    <w:p w14:paraId="7424EDC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（1）经济成本指标：投入资金≤520万元；</w:t>
      </w:r>
    </w:p>
    <w:p w14:paraId="441CEFD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（2）数量指标：</w:t>
      </w:r>
      <w:r>
        <w:rPr>
          <w:rFonts w:hint="default" w:ascii="Times New Roman Regular" w:hAnsi="Times New Roman Regular" w:eastAsia="仿宋_GB2312" w:cs="Times New Roman Regular"/>
          <w:color w:val="auto"/>
          <w:sz w:val="32"/>
          <w:szCs w:val="32"/>
          <w:highlight w:val="none"/>
          <w:lang w:val="en-US" w:eastAsia="zh-CN"/>
        </w:rPr>
        <w:t>全年召开党总支委会28次</w:t>
      </w:r>
      <w:r>
        <w:rPr>
          <w:rFonts w:hint="eastAsia" w:ascii="Times New Roman Regular" w:hAnsi="Times New Roman Regular" w:eastAsia="仿宋_GB2312" w:cs="Times New Roman Regular"/>
          <w:color w:val="auto"/>
          <w:sz w:val="32"/>
          <w:szCs w:val="32"/>
          <w:highlight w:val="none"/>
          <w:lang w:val="en-US" w:eastAsia="zh-CN"/>
        </w:rPr>
        <w:t>；</w:t>
      </w:r>
    </w:p>
    <w:p w14:paraId="6647638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（3）质量指标：经费使用合规性：100%；</w:t>
      </w:r>
    </w:p>
    <w:p w14:paraId="1332EE7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（4）时效指标：工作完成及时性，2025年12月31日之前完成；</w:t>
      </w:r>
    </w:p>
    <w:p w14:paraId="3C6E120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（5）社会效益指标：稳定教学秩序；</w:t>
      </w:r>
    </w:p>
    <w:p w14:paraId="2B0668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可持续</w:t>
      </w:r>
      <w:r>
        <w:rPr>
          <w:rFonts w:hint="eastAsia" w:ascii="Times New Roman Regular" w:hAnsi="Times New Roman Regular" w:eastAsia="仿宋_GB2312" w:cs="Times New Roman Regular"/>
          <w:color w:val="auto"/>
          <w:sz w:val="32"/>
          <w:szCs w:val="32"/>
          <w:highlight w:val="none"/>
          <w:lang w:val="en-US" w:eastAsia="zh-CN"/>
        </w:rPr>
        <w:t>影响指标：推进日常工作运行；</w:t>
      </w:r>
    </w:p>
    <w:p w14:paraId="0098ACE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（7）服务对象满意度指标：群众满意度≥90%。</w:t>
      </w:r>
    </w:p>
    <w:p w14:paraId="1B6305A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分析评价申报内容是否与实际相符,申报目标是否合理可行</w:t>
      </w:r>
      <w:r>
        <w:rPr>
          <w:rFonts w:hint="eastAsia" w:ascii="Times New Roman Regular" w:hAnsi="Times New Roman Regular" w:eastAsia="仿宋_GB2312" w:cs="Times New Roman Regular"/>
          <w:color w:val="auto"/>
          <w:sz w:val="32"/>
          <w:szCs w:val="32"/>
          <w:highlight w:val="none"/>
          <w:lang w:val="en-US" w:eastAsia="zh-CN"/>
        </w:rPr>
        <w:t>。</w:t>
      </w:r>
    </w:p>
    <w:p w14:paraId="3707B50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分析评价申报内容与实际相符，申报目标合理可行</w:t>
      </w:r>
      <w:r>
        <w:rPr>
          <w:rFonts w:hint="eastAsia" w:ascii="Times New Roman Regular" w:hAnsi="Times New Roman Regular" w:eastAsia="仿宋_GB2312" w:cs="Times New Roman Regular"/>
          <w:color w:val="auto"/>
          <w:sz w:val="32"/>
          <w:szCs w:val="32"/>
          <w:highlight w:val="none"/>
          <w:lang w:val="en-US" w:eastAsia="zh-CN"/>
        </w:rPr>
        <w:t>。本项目前期申报内容贴合幼儿园年度办学实际需求，申报列明的资金用途、工作任务、实施范围均与2025年园内教育管理、保教运转、师资建设、校园保障等真实工作内容高度匹配，不存在内容虚报、范围夸大等情况，申报文字描述与全年实际开展业务完全契合。</w:t>
      </w:r>
    </w:p>
    <w:p w14:paraId="117CA22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从绩效目标设置来看，各项量化指标科学合理、具备可操作性：项目总投入控制在520万元以内、经费使用合规、年底前全面完成全部工作、群众满意度不低于90%等指标，均结合本园办学规模、历年资金使用数据、年度工作任务测算设定，符合学前教育日常运行客观规律。各项效益指标紧扣稳定教学秩序、保障常态化办学的核心任务，目标定位清晰、难度适中，配套有完整的实施进度计划与落地举措支撑，整体申报目标具备较强可行性，能够通过全年规范管理、有序推进顺利达成预期成效。</w:t>
      </w:r>
    </w:p>
    <w:p w14:paraId="3433A06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843" w:firstLineChars="3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项目自评步骤及方法</w:t>
      </w:r>
    </w:p>
    <w:p w14:paraId="20CCB69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实施</w:t>
      </w:r>
      <w:r>
        <w:rPr>
          <w:rFonts w:hint="eastAsia" w:ascii="Times New Roman Regular" w:hAnsi="Times New Roman Regular" w:eastAsia="仿宋_GB2312" w:cs="Times New Roman Regular"/>
          <w:color w:val="auto"/>
          <w:sz w:val="32"/>
          <w:szCs w:val="32"/>
          <w:highlight w:val="none"/>
          <w:lang w:val="en-US" w:eastAsia="zh-CN"/>
        </w:rPr>
        <w:t>步骤：紧紧围绕年度既定绩效目标，严格依据统一评价指标体系、评分标准、规范评价流程开展自评工作。通过全面核实项目实施佐证材料、分类查阅财务与业务档案、逐项比对指标完成数据、归纳汇总成效与问题等标准化流程，在财政规定时限内有序完成全部绩效自评工作。</w:t>
      </w:r>
    </w:p>
    <w:p w14:paraId="5A7C324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2、评价方法</w:t>
      </w:r>
    </w:p>
    <w:p w14:paraId="76A330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项目资金绩效评价分为技术分析方法与实操工作方法两大类。其中：技术方法主要运用成本效益分析法、对比分析法、因素分析法，对项目资金投入额度、各项工作产出、办学综合效益开展关联匹配分析，将全年实际落地成效与年初绩效目标逐项对比，深入分析指标偏差成因；工作方法主要采用档案资料归集核查、一线教职工座谈交流、家长满意度问卷调查相结合的方式，全方位客观评价项目实施整体成效。</w:t>
      </w:r>
    </w:p>
    <w:p w14:paraId="523CB3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3B6AA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项目资金申报及批复情况</w:t>
      </w:r>
    </w:p>
    <w:p w14:paraId="543FFF7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园严格遵循财政资金管理相关制度、申报流程与工作要求开展项目资金申报工作。结合本年度师资培训、特色幼教、日常保教等办学工作需求，完整编制项目实施方案、绩效目标申报表等申报材料，按层级依次上报教育主管部门、财政部门审核。上级主管部门结合园所办学规模、年度工作任务完成资金审核并下达预算批复文件，明确各专项资金使用范围、支出限额与绩效管控要求。年度实施过程中，因保教临时性工作产生预算调剂需求时，严格按照财政预算调整流程提交申请，完整履行内部审核、上级报批手续，全部申报、批复、预算调整流程规范、资料齐全、手续完备。</w:t>
      </w:r>
    </w:p>
    <w:p w14:paraId="4DB9EED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资金计划、到位及使用情况(可用表格形式反映)</w:t>
      </w:r>
    </w:p>
    <w:p w14:paraId="40F1EEC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b/>
          <w:bCs/>
          <w:i w:val="0"/>
          <w:iCs w:val="0"/>
          <w:color w:val="auto"/>
          <w:sz w:val="32"/>
          <w:szCs w:val="32"/>
          <w:highlight w:val="none"/>
          <w:lang w:val="en-US" w:eastAsia="zh-CN"/>
        </w:rPr>
        <w:t>1</w:t>
      </w:r>
      <w:r>
        <w:rPr>
          <w:rFonts w:hint="eastAsia" w:ascii="Times New Roman Regular" w:hAnsi="Times New Roman Regular" w:eastAsia="仿宋_GB2312" w:cs="Times New Roman Regular"/>
          <w:b/>
          <w:bCs/>
          <w:i w:val="0"/>
          <w:iCs w:val="0"/>
          <w:color w:val="auto"/>
          <w:sz w:val="32"/>
          <w:szCs w:val="32"/>
          <w:highlight w:val="none"/>
          <w:lang w:val="en-US" w:eastAsia="zh-CN"/>
        </w:rPr>
        <w:t>、</w:t>
      </w:r>
      <w:r>
        <w:rPr>
          <w:rFonts w:hint="default" w:ascii="Times New Roman Regular" w:hAnsi="Times New Roman Regular" w:eastAsia="仿宋_GB2312" w:cs="Times New Roman Regular"/>
          <w:b/>
          <w:bCs/>
          <w:i w:val="0"/>
          <w:iCs w:val="0"/>
          <w:color w:val="auto"/>
          <w:sz w:val="32"/>
          <w:szCs w:val="32"/>
          <w:highlight w:val="none"/>
          <w:lang w:val="en-US" w:eastAsia="zh-CN"/>
        </w:rPr>
        <w:t>资金计划。</w:t>
      </w:r>
    </w:p>
    <w:p w14:paraId="1802E32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年</w:t>
      </w:r>
      <w:r>
        <w:rPr>
          <w:rFonts w:hint="eastAsia" w:ascii="Times New Roman Regular" w:hAnsi="Times New Roman Regular" w:eastAsia="仿宋_GB2312" w:cs="Times New Roman Regular"/>
          <w:color w:val="auto"/>
          <w:sz w:val="32"/>
          <w:szCs w:val="32"/>
          <w:highlight w:val="none"/>
          <w:lang w:val="en-US" w:eastAsia="zh-CN"/>
        </w:rPr>
        <w:t>度</w:t>
      </w:r>
      <w:r>
        <w:rPr>
          <w:rFonts w:hint="default" w:ascii="Times New Roman Regular" w:hAnsi="Times New Roman Regular" w:eastAsia="仿宋_GB2312" w:cs="Times New Roman Regular"/>
          <w:color w:val="auto"/>
          <w:sz w:val="32"/>
          <w:szCs w:val="32"/>
          <w:highlight w:val="none"/>
          <w:lang w:val="en-US" w:eastAsia="zh-CN"/>
        </w:rPr>
        <w:t>资金计划为下达</w:t>
      </w:r>
      <w:r>
        <w:rPr>
          <w:rFonts w:hint="eastAsia" w:ascii="Times New Roman Regular" w:hAnsi="Times New Roman Regular" w:eastAsia="仿宋_GB2312" w:cs="Times New Roman Regular"/>
          <w:color w:val="auto"/>
          <w:sz w:val="32"/>
          <w:szCs w:val="32"/>
          <w:highlight w:val="none"/>
          <w:lang w:val="en-US" w:eastAsia="zh-CN"/>
        </w:rPr>
        <w:t>本单位</w:t>
      </w:r>
      <w:r>
        <w:rPr>
          <w:rFonts w:hint="default" w:ascii="Times New Roman Regular" w:hAnsi="Times New Roman Regular" w:eastAsia="仿宋_GB2312" w:cs="Times New Roman Regular"/>
          <w:color w:val="auto"/>
          <w:sz w:val="32"/>
          <w:szCs w:val="32"/>
          <w:highlight w:val="none"/>
          <w:lang w:val="en-US" w:eastAsia="zh-CN"/>
        </w:rPr>
        <w:t>财政资金</w:t>
      </w:r>
      <w:r>
        <w:rPr>
          <w:rFonts w:hint="eastAsia" w:ascii="Times New Roman Regular" w:hAnsi="Times New Roman Regular" w:eastAsia="仿宋_GB2312" w:cs="Times New Roman Regular"/>
          <w:color w:val="auto"/>
          <w:sz w:val="32"/>
          <w:szCs w:val="32"/>
          <w:highlight w:val="none"/>
          <w:lang w:val="en-US" w:eastAsia="zh-CN"/>
        </w:rPr>
        <w:t>370.07</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 xml:space="preserve">。 </w:t>
      </w:r>
    </w:p>
    <w:p w14:paraId="1CD3875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2025年度教育管理项目全年资金计划总额控制在520万元以内，资金来源分为多级财政专项拨款，无单位自筹及银行贷款资金。</w:t>
      </w:r>
    </w:p>
    <w:p w14:paraId="42B52A5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2、</w:t>
      </w:r>
      <w:r>
        <w:rPr>
          <w:rFonts w:hint="default" w:ascii="Times New Roman Regular" w:hAnsi="Times New Roman Regular" w:eastAsia="仿宋_GB2312" w:cs="Times New Roman Regular"/>
          <w:b/>
          <w:bCs/>
          <w:color w:val="auto"/>
          <w:sz w:val="32"/>
          <w:szCs w:val="32"/>
          <w:highlight w:val="none"/>
          <w:lang w:val="en-US" w:eastAsia="zh-CN"/>
        </w:rPr>
        <w:t>资金到位</w:t>
      </w:r>
      <w:r>
        <w:rPr>
          <w:rFonts w:hint="default" w:ascii="Times New Roman Regular" w:hAnsi="Times New Roman Regular" w:eastAsia="仿宋_GB2312" w:cs="Times New Roman Regular"/>
          <w:color w:val="auto"/>
          <w:sz w:val="32"/>
          <w:szCs w:val="32"/>
          <w:highlight w:val="none"/>
          <w:lang w:val="en-US" w:eastAsia="zh-CN"/>
        </w:rPr>
        <w:t>。</w:t>
      </w:r>
    </w:p>
    <w:p w14:paraId="3E48AFD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年年初预算安排项目资金</w:t>
      </w:r>
      <w:r>
        <w:rPr>
          <w:rFonts w:hint="eastAsia" w:ascii="Times New Roman Regular" w:hAnsi="Times New Roman Regular" w:eastAsia="仿宋_GB2312" w:cs="Times New Roman Regular"/>
          <w:color w:val="auto"/>
          <w:sz w:val="32"/>
          <w:szCs w:val="32"/>
          <w:highlight w:val="none"/>
          <w:lang w:val="en-US" w:eastAsia="zh-CN"/>
        </w:rPr>
        <w:t>520</w:t>
      </w:r>
      <w:r>
        <w:rPr>
          <w:rFonts w:hint="default" w:ascii="Times New Roman Regular" w:hAnsi="Times New Roman Regular" w:eastAsia="仿宋_GB2312" w:cs="Times New Roman Regular"/>
          <w:color w:val="auto"/>
          <w:sz w:val="32"/>
          <w:szCs w:val="32"/>
          <w:highlight w:val="none"/>
          <w:lang w:val="en-US" w:eastAsia="zh-CN"/>
        </w:rPr>
        <w:t>万元，实际到位</w:t>
      </w:r>
      <w:r>
        <w:rPr>
          <w:rFonts w:hint="eastAsia" w:ascii="Times New Roman Regular" w:hAnsi="Times New Roman Regular" w:eastAsia="仿宋_GB2312" w:cs="Times New Roman Regular"/>
          <w:color w:val="auto"/>
          <w:sz w:val="32"/>
          <w:szCs w:val="32"/>
          <w:highlight w:val="none"/>
          <w:lang w:val="en-US" w:eastAsia="zh-CN"/>
        </w:rPr>
        <w:t>370.07</w:t>
      </w:r>
      <w:r>
        <w:rPr>
          <w:rFonts w:hint="default" w:ascii="Times New Roman Regular" w:hAnsi="Times New Roman Regular" w:eastAsia="仿宋_GB2312" w:cs="Times New Roman Regular"/>
          <w:color w:val="auto"/>
          <w:sz w:val="32"/>
          <w:szCs w:val="32"/>
          <w:highlight w:val="none"/>
          <w:lang w:val="en-US" w:eastAsia="zh-CN"/>
        </w:rPr>
        <w:t>万元，资金到位</w:t>
      </w:r>
      <w:r>
        <w:rPr>
          <w:rFonts w:hint="eastAsia" w:ascii="Times New Roman Regular" w:hAnsi="Times New Roman Regular" w:eastAsia="仿宋_GB2312" w:cs="Times New Roman Regular"/>
          <w:color w:val="auto"/>
          <w:sz w:val="32"/>
          <w:szCs w:val="32"/>
          <w:highlight w:val="none"/>
          <w:lang w:val="en-US" w:eastAsia="zh-CN"/>
        </w:rPr>
        <w:t>71.17</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资金及时到位。</w:t>
      </w:r>
    </w:p>
    <w:p w14:paraId="0240633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资金使用。</w:t>
      </w:r>
    </w:p>
    <w:p w14:paraId="19115CC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yellow"/>
          <w:lang w:val="en-US" w:eastAsia="zh-CN"/>
        </w:rPr>
      </w:pPr>
      <w:r>
        <w:rPr>
          <w:rFonts w:hint="default" w:ascii="Times New Roman Regular" w:hAnsi="Times New Roman Regular" w:eastAsia="仿宋_GB2312" w:cs="Times New Roman Regular"/>
          <w:color w:val="auto"/>
          <w:sz w:val="32"/>
          <w:szCs w:val="32"/>
          <w:highlight w:val="none"/>
          <w:lang w:val="en-US" w:eastAsia="zh-CN"/>
        </w:rPr>
        <w:t>202</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年项目到位资金</w:t>
      </w:r>
      <w:r>
        <w:rPr>
          <w:rFonts w:hint="eastAsia" w:ascii="Times New Roman Regular" w:hAnsi="Times New Roman Regular" w:eastAsia="仿宋_GB2312" w:cs="Times New Roman Regular"/>
          <w:color w:val="auto"/>
          <w:sz w:val="32"/>
          <w:szCs w:val="32"/>
          <w:highlight w:val="none"/>
          <w:lang w:val="en-US" w:eastAsia="zh-CN"/>
        </w:rPr>
        <w:t>370.07</w:t>
      </w:r>
      <w:r>
        <w:rPr>
          <w:rFonts w:hint="default" w:ascii="Times New Roman Regular" w:hAnsi="Times New Roman Regular" w:eastAsia="仿宋_GB2312" w:cs="Times New Roman Regular"/>
          <w:color w:val="auto"/>
          <w:sz w:val="32"/>
          <w:szCs w:val="32"/>
          <w:highlight w:val="none"/>
          <w:lang w:val="en-US" w:eastAsia="zh-CN"/>
        </w:rPr>
        <w:t>万元，本年度实际支出</w:t>
      </w:r>
      <w:r>
        <w:rPr>
          <w:rFonts w:hint="eastAsia" w:ascii="Times New Roman Regular" w:hAnsi="Times New Roman Regular" w:eastAsia="仿宋_GB2312" w:cs="Times New Roman Regular"/>
          <w:color w:val="auto"/>
          <w:sz w:val="32"/>
          <w:szCs w:val="32"/>
          <w:highlight w:val="none"/>
          <w:lang w:val="en-US" w:eastAsia="zh-CN"/>
        </w:rPr>
        <w:t>288.70</w:t>
      </w:r>
      <w:r>
        <w:rPr>
          <w:rFonts w:hint="default" w:ascii="Times New Roman Regular" w:hAnsi="Times New Roman Regular" w:eastAsia="仿宋_GB2312" w:cs="Times New Roman Regular"/>
          <w:color w:val="auto"/>
          <w:sz w:val="32"/>
          <w:szCs w:val="32"/>
          <w:highlight w:val="none"/>
          <w:lang w:val="en-US" w:eastAsia="zh-CN"/>
        </w:rPr>
        <w:t>万元，资金执行率</w:t>
      </w:r>
      <w:r>
        <w:rPr>
          <w:rFonts w:hint="eastAsia" w:ascii="Times New Roman Regular" w:hAnsi="Times New Roman Regular" w:eastAsia="仿宋_GB2312" w:cs="Times New Roman Regular"/>
          <w:color w:val="auto"/>
          <w:sz w:val="32"/>
          <w:szCs w:val="32"/>
          <w:highlight w:val="none"/>
          <w:lang w:val="en-US" w:eastAsia="zh-CN"/>
        </w:rPr>
        <w:t>78.01</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。资金实行专账核算、专款专用，通过国库集中支付统一拨付，财务逐笔审核支出原始凭证，全年不存在挤占、挪用、虚列支出、超范围列支等违规行为，账务处理真实、完整、及时、规范。</w:t>
      </w:r>
    </w:p>
    <w:p w14:paraId="364FA7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项目财务管理情况</w:t>
      </w:r>
    </w:p>
    <w:p w14:paraId="4536E5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本园建立完善、配套齐全的内部财务管理制度，严格落实各项财经管理规定，所有项目资金拨付审批流程标准化、规范化，审批环节精简高效。严格落实国库集中支付管理办法与政府采购相关法规，依照项目年度预算、项目实施进度有序申请、拨付资金，杜绝无预算、超进度拨款行为。财务人员及时收集、审核原始票据，账务登记、凭证装订、会计档案保管全流程合规，会计核算资料真实完整、业务处理及时规范。</w:t>
      </w:r>
    </w:p>
    <w:p w14:paraId="5D9D20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r>
        <w:rPr>
          <w:rFonts w:hint="default" w:ascii="Times New Roman Regular" w:hAnsi="Times New Roman Regular" w:eastAsia="仿宋_GB2312" w:cs="Times New Roman Regular"/>
          <w:color w:val="auto"/>
          <w:sz w:val="32"/>
          <w:szCs w:val="32"/>
          <w:highlight w:val="none"/>
          <w:lang w:val="en-US" w:eastAsia="zh-CN"/>
        </w:rPr>
        <w:t>。</w:t>
      </w:r>
    </w:p>
    <w:p w14:paraId="1C4504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项目组织架构及实施流程</w:t>
      </w:r>
    </w:p>
    <w:p w14:paraId="480FBB6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园完善财务、专项资金管理相关内控制度，制度合规完整、贴合办学实际，能够落地执行。园内组建项目工作专班，划分教学、后勤、财务岗位职责，分立项规划、资金拨付、项目落地、年终自评全流程推进工作。阶段性跟踪资金执行进度，定期开展内部自查，对预算执行不均衡、流程不完善等问题及时整改优化，持续规范项目实施流程。</w:t>
      </w:r>
    </w:p>
    <w:p w14:paraId="587B13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项目管理情况</w:t>
      </w:r>
    </w:p>
    <w:p w14:paraId="78B907A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w:t>
      </w:r>
      <w:r>
        <w:rPr>
          <w:rFonts w:hint="default" w:ascii="Times New Roman Regular" w:hAnsi="Times New Roman Regular" w:eastAsia="仿宋_GB2312" w:cs="Times New Roman Regular"/>
          <w:color w:val="auto"/>
          <w:sz w:val="32"/>
          <w:szCs w:val="32"/>
          <w:highlight w:val="none"/>
          <w:lang w:val="en-US" w:eastAsia="zh-CN"/>
        </w:rPr>
        <w:t>目开展全程严格遵守财经、政府采购相关法律法规。各类物资、服务采购按标准执行，完整留存采购合同、票据、验收材料。坚持项目信息公开制度，预算安排、采购事项、项目开展情况在园内公示，主动接受师生、家长监督，项目实施内容未随意调整变更，全程合规可控</w:t>
      </w:r>
      <w:r>
        <w:rPr>
          <w:rFonts w:hint="eastAsia" w:ascii="Times New Roman Regular" w:hAnsi="Times New Roman Regular" w:eastAsia="仿宋_GB2312" w:cs="Times New Roman Regular"/>
          <w:color w:val="auto"/>
          <w:sz w:val="32"/>
          <w:szCs w:val="32"/>
          <w:highlight w:val="none"/>
          <w:lang w:val="en-US" w:eastAsia="zh-CN"/>
        </w:rPr>
        <w:t>。</w:t>
      </w:r>
    </w:p>
    <w:p w14:paraId="79FD4BD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项目监管情况</w:t>
      </w:r>
    </w:p>
    <w:p w14:paraId="73CAF30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主管部门实行全过程监督管理，采用多类监管手段把控项目实施与资金使用。项目前期审核立项方案与预算编制；实施期间开展实地核查、资料抽查，及时指出实施过程存在的不足并督促整改；项目结束后开展综合验收。通过多层次监管，及时化解资金使用、项目推进中的各类风险，保障项目有序落地，切实提升财政资金使用效益。</w:t>
      </w:r>
    </w:p>
    <w:p w14:paraId="07DA9A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2A6416F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项目完成情况</w:t>
      </w:r>
    </w:p>
    <w:p w14:paraId="5CE8A0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数量</w:t>
      </w:r>
      <w:r>
        <w:rPr>
          <w:rFonts w:hint="eastAsia" w:ascii="Times New Roman Regular" w:hAnsi="Times New Roman Regular" w:eastAsia="仿宋_GB2312" w:cs="Times New Roman Regular"/>
          <w:color w:val="auto"/>
          <w:sz w:val="32"/>
          <w:szCs w:val="32"/>
          <w:highlight w:val="none"/>
          <w:lang w:val="en-US" w:eastAsia="zh-CN"/>
        </w:rPr>
        <w:t>指标：</w:t>
      </w:r>
      <w:r>
        <w:rPr>
          <w:rFonts w:hint="default" w:ascii="Times New Roman Regular" w:hAnsi="Times New Roman Regular" w:eastAsia="仿宋_GB2312" w:cs="Times New Roman Regular"/>
          <w:color w:val="auto"/>
          <w:sz w:val="32"/>
          <w:szCs w:val="32"/>
          <w:highlight w:val="none"/>
          <w:lang w:val="en-US" w:eastAsia="zh-CN"/>
        </w:rPr>
        <w:t>系统整合“家长护学岗”“爸妈故事团”等传统品牌项目，全年联合开展活动100余场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严格执行“三重一大”集体决策制度，全年召开党总支委会28次</w:t>
      </w:r>
      <w:r>
        <w:rPr>
          <w:rFonts w:hint="eastAsia" w:ascii="Times New Roman Regular" w:hAnsi="Times New Roman Regular" w:eastAsia="仿宋_GB2312" w:cs="Times New Roman Regular"/>
          <w:color w:val="auto"/>
          <w:sz w:val="32"/>
          <w:szCs w:val="32"/>
          <w:highlight w:val="none"/>
          <w:lang w:val="en-US" w:eastAsia="zh-CN"/>
        </w:rPr>
        <w:t>，达到年度目标。</w:t>
      </w:r>
    </w:p>
    <w:p w14:paraId="0594B07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质量</w:t>
      </w:r>
      <w:r>
        <w:rPr>
          <w:rFonts w:hint="eastAsia" w:ascii="Times New Roman Regular" w:hAnsi="Times New Roman Regular" w:eastAsia="仿宋_GB2312" w:cs="Times New Roman Regular"/>
          <w:color w:val="auto"/>
          <w:sz w:val="32"/>
          <w:szCs w:val="32"/>
          <w:highlight w:val="none"/>
          <w:lang w:val="en-US" w:eastAsia="zh-CN"/>
        </w:rPr>
        <w:t>指标：履职目标完成率100%，达到绩效目标；</w:t>
      </w:r>
    </w:p>
    <w:p w14:paraId="2064213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时效</w:t>
      </w:r>
      <w:r>
        <w:rPr>
          <w:rFonts w:hint="eastAsia" w:ascii="Times New Roman Regular" w:hAnsi="Times New Roman Regular" w:eastAsia="仿宋_GB2312" w:cs="Times New Roman Regular"/>
          <w:color w:val="auto"/>
          <w:sz w:val="32"/>
          <w:szCs w:val="32"/>
          <w:highlight w:val="none"/>
          <w:lang w:val="en-US" w:eastAsia="zh-CN"/>
        </w:rPr>
        <w:t>指标：工作在2025年12月31日之前完成，达到绩效目标；</w:t>
      </w:r>
    </w:p>
    <w:p w14:paraId="319E727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4.经济</w:t>
      </w:r>
      <w:r>
        <w:rPr>
          <w:rFonts w:hint="default" w:ascii="Times New Roman Regular" w:hAnsi="Times New Roman Regular" w:eastAsia="仿宋_GB2312" w:cs="Times New Roman Regular"/>
          <w:color w:val="auto"/>
          <w:sz w:val="32"/>
          <w:szCs w:val="32"/>
          <w:highlight w:val="none"/>
          <w:lang w:val="en-US" w:eastAsia="zh-CN"/>
        </w:rPr>
        <w:t>成本</w:t>
      </w:r>
      <w:r>
        <w:rPr>
          <w:rFonts w:hint="eastAsia" w:ascii="Times New Roman Regular" w:hAnsi="Times New Roman Regular" w:eastAsia="仿宋_GB2312" w:cs="Times New Roman Regular"/>
          <w:color w:val="auto"/>
          <w:sz w:val="32"/>
          <w:szCs w:val="32"/>
          <w:highlight w:val="none"/>
          <w:lang w:val="en-US" w:eastAsia="zh-CN"/>
        </w:rPr>
        <w:t>指标：投入资金≤520万元，实际支出288.70万元达到绩效目标。</w:t>
      </w:r>
    </w:p>
    <w:p w14:paraId="1D3D36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bookmarkStart w:id="0" w:name="_GoBack"/>
      <w:bookmarkEnd w:id="0"/>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项目效益情况</w:t>
      </w:r>
    </w:p>
    <w:p w14:paraId="2D80677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1.经济效益：无；</w:t>
      </w:r>
    </w:p>
    <w:p w14:paraId="28829CC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社会效益</w:t>
      </w:r>
      <w:r>
        <w:rPr>
          <w:rFonts w:hint="eastAsia" w:ascii="Times New Roman Regular" w:hAnsi="Times New Roman Regular" w:eastAsia="仿宋_GB2312" w:cs="Times New Roman Regular"/>
          <w:color w:val="auto"/>
          <w:sz w:val="32"/>
          <w:szCs w:val="32"/>
          <w:highlight w:val="none"/>
          <w:lang w:val="en-US" w:eastAsia="zh-CN"/>
        </w:rPr>
        <w:t>：维护园内秩序稳定，达到绩效目标；</w:t>
      </w:r>
    </w:p>
    <w:p w14:paraId="32D441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可持续</w:t>
      </w:r>
      <w:r>
        <w:rPr>
          <w:rFonts w:hint="eastAsia" w:ascii="Times New Roman Regular" w:hAnsi="Times New Roman Regular" w:eastAsia="仿宋_GB2312" w:cs="Times New Roman Regular"/>
          <w:color w:val="auto"/>
          <w:kern w:val="2"/>
          <w:sz w:val="32"/>
          <w:szCs w:val="32"/>
          <w:highlight w:val="none"/>
          <w:lang w:val="en-US" w:eastAsia="zh-CN" w:bidi="ar-SA"/>
        </w:rPr>
        <w:t>影响：进一步深化了园所管理，加强了教师梯队建设，推进了幼儿园教育教学改革，强化了校园文化建设，努力打造有温度有品质的学前教育，达到绩效目标；</w:t>
      </w:r>
    </w:p>
    <w:p w14:paraId="7BB9DBB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服务对象满意度</w:t>
      </w:r>
      <w:r>
        <w:rPr>
          <w:rFonts w:hint="eastAsia" w:ascii="Times New Roman Regular" w:hAnsi="Times New Roman Regular" w:eastAsia="仿宋_GB2312" w:cs="Times New Roman Regular"/>
          <w:color w:val="auto"/>
          <w:sz w:val="32"/>
          <w:szCs w:val="32"/>
          <w:highlight w:val="none"/>
          <w:lang w:val="en-US" w:eastAsia="zh-CN"/>
        </w:rPr>
        <w:t>：全体师生满意度90%以上，达到绩效目标</w:t>
      </w:r>
      <w:r>
        <w:rPr>
          <w:rFonts w:hint="default" w:ascii="Times New Roman Regular" w:hAnsi="Times New Roman Regular" w:eastAsia="仿宋_GB2312" w:cs="Times New Roman Regular"/>
          <w:color w:val="auto"/>
          <w:sz w:val="32"/>
          <w:szCs w:val="32"/>
          <w:highlight w:val="none"/>
          <w:lang w:val="en-US" w:eastAsia="zh-CN"/>
        </w:rPr>
        <w:t>。</w:t>
      </w:r>
    </w:p>
    <w:p w14:paraId="0EC689C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2737626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（一）</w:t>
      </w:r>
      <w:r>
        <w:rPr>
          <w:rFonts w:hint="default" w:ascii="Times New Roman Regular" w:hAnsi="Times New Roman Regular" w:eastAsia="仿宋_GB2312" w:cs="Times New Roman Regular"/>
          <w:b/>
          <w:bCs/>
          <w:color w:val="auto"/>
          <w:sz w:val="28"/>
          <w:szCs w:val="28"/>
          <w:highlight w:val="none"/>
          <w:lang w:val="en-US" w:eastAsia="zh-CN"/>
        </w:rPr>
        <w:t>评价结论</w:t>
      </w:r>
    </w:p>
    <w:p w14:paraId="1C0935D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结合本园学前教育管理项目工作特点、绩效评价重点及财政绩效管理相关管理办法，对照项目支出绩效评价全套指标体系开展全方位总体评价。</w:t>
      </w:r>
    </w:p>
    <w:p w14:paraId="0D0E4AF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2025年度绩效评价各项指标完成情况逐项综合打分核算，本项目绩效自评总得分为95.55分，绩效评价等级为优。本年度项目资金足额到位、规范使用，各项产出、效益、满意度指标均圆满完成，有效保障园内保教、师资培训、平安校园、特色幼教等工作有序开展，较好达成年度办学发展目标。</w:t>
      </w:r>
    </w:p>
    <w:p w14:paraId="536916E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（二）</w:t>
      </w:r>
      <w:r>
        <w:rPr>
          <w:rFonts w:hint="default" w:ascii="Times New Roman Regular" w:hAnsi="Times New Roman Regular" w:eastAsia="仿宋_GB2312" w:cs="Times New Roman Regular"/>
          <w:b/>
          <w:bCs/>
          <w:color w:val="auto"/>
          <w:sz w:val="28"/>
          <w:szCs w:val="28"/>
          <w:highlight w:val="none"/>
          <w:lang w:val="en-US" w:eastAsia="zh-CN"/>
        </w:rPr>
        <w:t>存在的问题</w:t>
      </w:r>
    </w:p>
    <w:p w14:paraId="2DE9105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预算编制、执行管理与全过程绩效管控融合程度不足，年初预算对临时性保教工作预判不够全面，造成少量科目预算执行存在偏差。</w:t>
      </w:r>
    </w:p>
    <w:p w14:paraId="6E5EDD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562" w:firstLineChars="200"/>
        <w:textAlignment w:val="auto"/>
        <w:rPr>
          <w:rFonts w:hint="default" w:ascii="Times New Roman Regular" w:hAnsi="Times New Roman Regular" w:eastAsia="仿宋_GB2312" w:cs="Times New Roman Regular"/>
          <w:b/>
          <w:bCs/>
          <w:color w:val="auto"/>
          <w:sz w:val="28"/>
          <w:szCs w:val="28"/>
          <w:highlight w:val="none"/>
          <w:lang w:val="en-US" w:eastAsia="zh-CN"/>
        </w:rPr>
      </w:pPr>
      <w:r>
        <w:rPr>
          <w:rFonts w:hint="eastAsia" w:ascii="Times New Roman Regular" w:hAnsi="Times New Roman Regular" w:eastAsia="仿宋_GB2312" w:cs="Times New Roman Regular"/>
          <w:b/>
          <w:bCs/>
          <w:color w:val="auto"/>
          <w:sz w:val="28"/>
          <w:szCs w:val="28"/>
          <w:highlight w:val="none"/>
          <w:lang w:val="en-US" w:eastAsia="zh-CN"/>
        </w:rPr>
        <w:t>（三）</w:t>
      </w:r>
      <w:r>
        <w:rPr>
          <w:rFonts w:hint="default" w:ascii="Times New Roman Regular" w:hAnsi="Times New Roman Regular" w:eastAsia="仿宋_GB2312" w:cs="Times New Roman Regular"/>
          <w:b/>
          <w:bCs/>
          <w:color w:val="auto"/>
          <w:sz w:val="28"/>
          <w:szCs w:val="28"/>
          <w:highlight w:val="none"/>
          <w:lang w:val="en-US" w:eastAsia="zh-CN"/>
        </w:rPr>
        <w:t>相关建议</w:t>
      </w:r>
    </w:p>
    <w:p w14:paraId="4475C03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针对本次自评查摆出来的管理短板，提出后续优化改进举措及相关工作建议：</w:t>
      </w:r>
    </w:p>
    <w:p w14:paraId="636A820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 常态化组织绩效业务培训。定期开展预算支出绩效评价、资金规范管理专题培训，覆盖财务及各业务科室全体工作人员，强化全员绩效意识，打通预算与绩效一体化管理壁垒。</w:t>
      </w:r>
    </w:p>
    <w:p w14:paraId="3D048AD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 强化项目全流程申报指导。提前组织各科室梳理年度工作任务，细化预算测算与绩效目标编制工作，加强项目申报、绩效目标填报全流程指导，提升预算编制精准度。</w:t>
      </w:r>
    </w:p>
    <w:p w14:paraId="4BDD0A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001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KSOFEE37DCD9">
    <w:panose1 w:val="020B07030202040202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C3916"/>
    <w:multiLevelType w:val="singleLevel"/>
    <w:tmpl w:val="F5BC3916"/>
    <w:lvl w:ilvl="0" w:tentative="0">
      <w:start w:val="1"/>
      <w:numFmt w:val="chineseCounting"/>
      <w:suff w:val="nothing"/>
      <w:lvlText w:val="%1、"/>
      <w:lvlJc w:val="left"/>
      <w:rPr>
        <w:rFonts w:hint="eastAsia"/>
      </w:rPr>
    </w:lvl>
  </w:abstractNum>
  <w:abstractNum w:abstractNumId="1">
    <w:nsid w:val="37FCA5E4"/>
    <w:multiLevelType w:val="singleLevel"/>
    <w:tmpl w:val="37FCA5E4"/>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1343A8"/>
    <w:rsid w:val="0C072D26"/>
    <w:rsid w:val="1CE8031A"/>
    <w:rsid w:val="217E0658"/>
    <w:rsid w:val="28E46B13"/>
    <w:rsid w:val="29867C61"/>
    <w:rsid w:val="33AD2BD0"/>
    <w:rsid w:val="34F52217"/>
    <w:rsid w:val="386911E5"/>
    <w:rsid w:val="394A2665"/>
    <w:rsid w:val="3C4B6577"/>
    <w:rsid w:val="4792415F"/>
    <w:rsid w:val="4ABC69C0"/>
    <w:rsid w:val="4C570350"/>
    <w:rsid w:val="4EA84B2A"/>
    <w:rsid w:val="51DF6918"/>
    <w:rsid w:val="526861E8"/>
    <w:rsid w:val="538668FC"/>
    <w:rsid w:val="5CE62FC3"/>
    <w:rsid w:val="5D013C0F"/>
    <w:rsid w:val="5E54561F"/>
    <w:rsid w:val="5FFC3BC2"/>
    <w:rsid w:val="625F51ED"/>
    <w:rsid w:val="6DDE0438"/>
    <w:rsid w:val="6F177DDA"/>
    <w:rsid w:val="77104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7015</Words>
  <Characters>7454</Characters>
  <Lines>0</Lines>
  <Paragraphs>0</Paragraphs>
  <TotalTime>32</TotalTime>
  <ScaleCrop>false</ScaleCrop>
  <LinksUpToDate>false</LinksUpToDate>
  <CharactersWithSpaces>7473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2026-06-05T03:19:00Z</dcterms:created>
  <dc:creator>王珏璘</dc:creator>
  <cp:lastModifiedBy>潇潇酥</cp:lastModifiedBy>
  <dcterms:modified xsi:type="dcterms:W3CDTF">2026-06-25T08:28:42Z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eyJoZGlkIjoiYjk5ODM0YmMxOWJiYWQyNDU4MGIzYWRmYTA0ZmI5NDciLCJ1c2VySWQiOiI0MDM1MDQ2NTMifQ==</vt:lpwstr>
  </property>
  <property fmtid="{D5CDD505-2E9C-101B-9397-08002B2CF9AE}" pid="4" name="ICV">
    <vt:lpwstr>63421EE86DC248C28637888B9178A9C3_12</vt:lpwstr>
  </property>
</Properties>
</file>